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7040" w:rsidRPr="00214E5D" w:rsidRDefault="00221420" w:rsidP="00214E5D">
      <w:pPr>
        <w:spacing w:before="20" w:line="36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bookmarkStart w:id="0" w:name="_GoBack"/>
      <w:bookmarkEnd w:id="0"/>
      <w:r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УДК</w:t>
      </w:r>
      <w:r w:rsidR="00842D6B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621.452.322:678:534.83</w:t>
      </w:r>
    </w:p>
    <w:p w:rsidR="00E50658" w:rsidRPr="00214E5D" w:rsidRDefault="00931741" w:rsidP="00214E5D">
      <w:pPr>
        <w:spacing w:before="20" w:line="360" w:lineRule="auto"/>
        <w:contextualSpacing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214E5D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Диссипативные звукопоглощающие конструкции на основе применения пористых</w:t>
      </w:r>
      <w:r w:rsidR="00522F8E" w:rsidRPr="00214E5D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 xml:space="preserve"> высокотемпературных металлокерамоматричных компози</w:t>
      </w:r>
      <w:r w:rsidRPr="00214E5D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ционных материалов</w:t>
      </w:r>
    </w:p>
    <w:p w:rsidR="005D59F8" w:rsidRPr="00214E5D" w:rsidRDefault="00C7706B" w:rsidP="00214E5D">
      <w:pPr>
        <w:spacing w:before="20" w:line="360" w:lineRule="auto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Низовцев В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="005D59F8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Е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vertAlign w:val="superscript"/>
          <w:lang w:eastAsia="en-US"/>
        </w:rPr>
        <w:t>1</w:t>
      </w:r>
      <w:r w:rsidR="005D59F8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к.т.н., Халецкий Ю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="005D59F8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Д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vertAlign w:val="superscript"/>
          <w:lang w:eastAsia="en-US"/>
        </w:rPr>
        <w:t>1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r w:rsidR="00221420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Климов А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="00221420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К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vertAlign w:val="superscript"/>
          <w:lang w:eastAsia="en-US"/>
        </w:rPr>
        <w:t>2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r w:rsidR="00221420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Климов Д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="00221420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А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vertAlign w:val="superscript"/>
          <w:lang w:eastAsia="en-US"/>
        </w:rPr>
        <w:t>1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r w:rsidR="00221420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Бортников А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="00221420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Д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vertAlign w:val="superscript"/>
          <w:lang w:eastAsia="en-US"/>
        </w:rPr>
        <w:t>1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, </w:t>
      </w:r>
      <w:r w:rsidR="00221420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Почкин </w:t>
      </w:r>
      <w:r w:rsidR="00842D6B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Я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="00842D6B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С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lang w:eastAsia="en-US"/>
        </w:rPr>
        <w:t>.</w:t>
      </w:r>
      <w:r w:rsidR="00214E5D" w:rsidRPr="00214E5D">
        <w:rPr>
          <w:rFonts w:ascii="Times New Roman" w:eastAsiaTheme="minorHAnsi" w:hAnsi="Times New Roman" w:cs="Times New Roman"/>
          <w:sz w:val="28"/>
          <w:szCs w:val="28"/>
          <w:vertAlign w:val="superscript"/>
          <w:lang w:eastAsia="en-US"/>
        </w:rPr>
        <w:t>1</w:t>
      </w:r>
    </w:p>
    <w:p w:rsidR="00214E5D" w:rsidRPr="00214E5D" w:rsidRDefault="00214E5D" w:rsidP="00214E5D">
      <w:pPr>
        <w:spacing w:before="20" w:line="360" w:lineRule="auto"/>
        <w:contextualSpacing/>
        <w:jc w:val="both"/>
        <w:rPr>
          <w:rStyle w:val="ab"/>
          <w:rFonts w:ascii="Times New Roman" w:eastAsiaTheme="minorHAnsi" w:hAnsi="Times New Roman" w:cs="Times New Roman"/>
          <w:lang w:val="en-US" w:eastAsia="en-US"/>
        </w:rPr>
      </w:pPr>
      <w:r w:rsidRPr="00214E5D">
        <w:rPr>
          <w:rStyle w:val="ab"/>
          <w:rFonts w:ascii="Times New Roman" w:eastAsiaTheme="minorHAnsi" w:hAnsi="Times New Roman" w:cs="Times New Roman"/>
          <w:lang w:val="en-US" w:eastAsia="en-US"/>
        </w:rPr>
        <w:t>3991258@</w:t>
      </w:r>
      <w:r w:rsidRPr="00214E5D">
        <w:rPr>
          <w:rStyle w:val="ab"/>
          <w:rFonts w:ascii="Times New Roman" w:eastAsiaTheme="minorHAnsi" w:hAnsi="Times New Roman" w:cs="Times New Roman"/>
          <w:lang w:eastAsia="en-US"/>
        </w:rPr>
        <w:t>mail</w:t>
      </w:r>
      <w:r w:rsidRPr="00214E5D">
        <w:rPr>
          <w:rStyle w:val="ab"/>
          <w:rFonts w:ascii="Times New Roman" w:eastAsiaTheme="minorHAnsi" w:hAnsi="Times New Roman" w:cs="Times New Roman"/>
          <w:lang w:val="en-US" w:eastAsia="en-US"/>
        </w:rPr>
        <w:t>.</w:t>
      </w:r>
      <w:r w:rsidRPr="00214E5D">
        <w:rPr>
          <w:rStyle w:val="ab"/>
          <w:rFonts w:ascii="Times New Roman" w:eastAsiaTheme="minorHAnsi" w:hAnsi="Times New Roman" w:cs="Times New Roman"/>
          <w:lang w:eastAsia="en-US"/>
        </w:rPr>
        <w:t>ru</w:t>
      </w:r>
    </w:p>
    <w:p w:rsidR="00221420" w:rsidRPr="00214E5D" w:rsidRDefault="00214E5D" w:rsidP="00214E5D">
      <w:pPr>
        <w:spacing w:before="20" w:line="360" w:lineRule="auto"/>
        <w:contextualSpacing/>
        <w:jc w:val="both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214E5D">
        <w:rPr>
          <w:rFonts w:ascii="Times New Roman" w:eastAsiaTheme="minorHAnsi" w:hAnsi="Times New Roman" w:cs="Times New Roman"/>
          <w:i/>
          <w:sz w:val="28"/>
          <w:szCs w:val="28"/>
          <w:vertAlign w:val="superscript"/>
          <w:lang w:eastAsia="en-US"/>
        </w:rPr>
        <w:t>1</w:t>
      </w:r>
      <w:r w:rsidR="00221420" w:rsidRPr="00214E5D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ФГУП ГНЦ "Центральный институт авиационного моторостроения им. П.И. Баранова"</w:t>
      </w:r>
    </w:p>
    <w:p w:rsidR="00221420" w:rsidRPr="00214E5D" w:rsidRDefault="00214E5D" w:rsidP="00214E5D">
      <w:pPr>
        <w:spacing w:before="20" w:line="360" w:lineRule="auto"/>
        <w:contextualSpacing/>
        <w:jc w:val="both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214E5D">
        <w:rPr>
          <w:rFonts w:ascii="Times New Roman" w:eastAsiaTheme="minorHAnsi" w:hAnsi="Times New Roman" w:cs="Times New Roman"/>
          <w:i/>
          <w:sz w:val="28"/>
          <w:szCs w:val="28"/>
          <w:vertAlign w:val="superscript"/>
          <w:lang w:eastAsia="en-US"/>
        </w:rPr>
        <w:t>2</w:t>
      </w:r>
      <w:r w:rsidR="00221420" w:rsidRPr="00214E5D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ООО "Диапром" </w:t>
      </w:r>
    </w:p>
    <w:p w:rsidR="00214E5D" w:rsidRDefault="00214E5D" w:rsidP="00133024">
      <w:pPr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14E5D" w:rsidRPr="00E830E0" w:rsidRDefault="00214E5D" w:rsidP="00214E5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Аннотация</w:t>
      </w:r>
      <w:r w:rsidRPr="00E830E0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:rsidR="00214E5D" w:rsidRDefault="00214E5D" w:rsidP="00214E5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>Получены акустические характеристики образцов для глушителей шума из пористых высокотемпературных металлокерамоматричных композиционных материалов путем интерферометри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 Показано влияние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толщины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плотности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величины пор 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>композиционного материала на коэффициент звукопоглощения. На основании полученных экспериментальных данных указываются основные направления дальнейших исследований по шумоглушению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14E5D" w:rsidRPr="00E830E0" w:rsidRDefault="00214E5D" w:rsidP="00214E5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830E0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214E5D" w:rsidRDefault="00214E5D" w:rsidP="00214E5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27AC1">
        <w:rPr>
          <w:rFonts w:ascii="Times New Roman" w:hAnsi="Times New Roman" w:cs="Times New Roman"/>
          <w:sz w:val="28"/>
          <w:szCs w:val="28"/>
        </w:rPr>
        <w:t>пористый высокотемпературный металлокерамоматричный композит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327AC1">
        <w:rPr>
          <w:rFonts w:ascii="Times New Roman" w:hAnsi="Times New Roman" w:cs="Times New Roman"/>
          <w:sz w:val="28"/>
          <w:szCs w:val="28"/>
        </w:rPr>
        <w:t>глушитель шума</w:t>
      </w:r>
      <w:r>
        <w:rPr>
          <w:rFonts w:ascii="Times New Roman" w:hAnsi="Times New Roman" w:cs="Times New Roman"/>
          <w:sz w:val="28"/>
          <w:szCs w:val="28"/>
        </w:rPr>
        <w:t>, диссипативные звукопоглощающие конструкции.</w:t>
      </w:r>
    </w:p>
    <w:p w:rsidR="00214E5D" w:rsidRPr="00B81AF1" w:rsidRDefault="00214E5D" w:rsidP="00214E5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14E5D" w:rsidRPr="00B81AF1" w:rsidRDefault="00214E5D" w:rsidP="00214E5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81AF1"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Abstract:</w:t>
      </w:r>
    </w:p>
    <w:p w:rsidR="00214E5D" w:rsidRPr="00EA4D05" w:rsidRDefault="00214E5D" w:rsidP="00214E5D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42D6B">
        <w:rPr>
          <w:rFonts w:ascii="Times New Roman" w:hAnsi="Times New Roman" w:cs="Times New Roman"/>
          <w:sz w:val="28"/>
          <w:szCs w:val="28"/>
          <w:lang w:val="en-US"/>
        </w:rPr>
        <w:t>Acoustic characteristics of the specimens for silencers of porous high-temperature metal-ceramic-matrix composite materials by interferometry were obtained.</w:t>
      </w:r>
      <w:r w:rsidRPr="00842D6B">
        <w:rPr>
          <w:sz w:val="28"/>
          <w:szCs w:val="28"/>
          <w:lang w:val="en-US"/>
        </w:rPr>
        <w:t xml:space="preserve"> </w:t>
      </w:r>
      <w:r w:rsidRPr="00842D6B">
        <w:rPr>
          <w:rFonts w:ascii="Times New Roman" w:hAnsi="Times New Roman" w:cs="Times New Roman"/>
          <w:sz w:val="28"/>
          <w:szCs w:val="28"/>
          <w:lang w:val="en-US"/>
        </w:rPr>
        <w:t xml:space="preserve">The influence of porosity, pore diameter, thickness and density of the </w:t>
      </w:r>
      <w:r w:rsidRPr="00842D6B">
        <w:rPr>
          <w:rFonts w:ascii="Times New Roman" w:hAnsi="Times New Roman" w:cs="Times New Roman"/>
          <w:sz w:val="28"/>
          <w:szCs w:val="28"/>
          <w:lang w:val="en-US"/>
        </w:rPr>
        <w:lastRenderedPageBreak/>
        <w:t>composite material on the sound absorption coefficient are shown.</w:t>
      </w:r>
      <w:r w:rsidRPr="00842D6B">
        <w:rPr>
          <w:sz w:val="28"/>
          <w:szCs w:val="28"/>
          <w:lang w:val="en-US"/>
        </w:rPr>
        <w:t xml:space="preserve"> </w:t>
      </w:r>
      <w:r w:rsidRPr="00842D6B">
        <w:rPr>
          <w:rFonts w:ascii="Times New Roman" w:hAnsi="Times New Roman" w:cs="Times New Roman"/>
          <w:sz w:val="28"/>
          <w:szCs w:val="28"/>
          <w:lang w:val="en-US"/>
        </w:rPr>
        <w:t>Based on the experimental data indicate the main directions of further research on noise suppression</w:t>
      </w:r>
      <w:r w:rsidRPr="00EA4D0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522F8E" w:rsidRPr="00327AC1" w:rsidRDefault="00522F8E" w:rsidP="00522F8E">
      <w:pPr>
        <w:rPr>
          <w:rFonts w:ascii="Times New Roman" w:hAnsi="Times New Roman" w:cs="Times New Roman"/>
          <w:b/>
          <w:sz w:val="28"/>
          <w:szCs w:val="28"/>
        </w:rPr>
      </w:pPr>
    </w:p>
    <w:p w:rsidR="00522F8E" w:rsidRPr="00327AC1" w:rsidRDefault="00522F8E" w:rsidP="00133024">
      <w:pPr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327AC1">
        <w:rPr>
          <w:rFonts w:ascii="Times New Roman" w:hAnsi="Times New Roman" w:cs="Times New Roman"/>
          <w:b/>
          <w:sz w:val="28"/>
          <w:szCs w:val="28"/>
        </w:rPr>
        <w:t>1. Введение</w:t>
      </w:r>
    </w:p>
    <w:p w:rsidR="00775260" w:rsidRPr="00E36DF5" w:rsidRDefault="00775260" w:rsidP="00E36DF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36DF5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С 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>начала 70-х годов в связи с массовым распространением газо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турбинных двигателей в гражданской авиации к ним стали предъявлять требования по экологическим характеристикам, прежде всего по шуму на местности, затем по эмиссии вредных веществ. Наиболее жестко вы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ставлялись требования по шуму. В 1972 г. была введена Глава 2 ИКАО, регламентирующая шум самолета на местности в трех точках для каж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дого из режимов </w:t>
      </w:r>
      <w:r w:rsidR="00E36DF5"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взлете, пролете и при посадке. Создаваемые са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молеты для получения сертификации летной годности должны были удовлетворять этим нормам. Введение норм стимулировало работы, направленные на снижение шума. На рис</w:t>
      </w:r>
      <w:r w:rsidR="00E36DF5"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>унке 1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показана тенденция из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менения суммарного шума самолета в трех точках относительно регла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ментированным в Главе </w:t>
      </w:r>
      <w:r w:rsidR="00C90223"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ИКАО, введенной в 1977 г., в зависимости от года сертификации самолета.</w:t>
      </w:r>
    </w:p>
    <w:p w:rsidR="00931741" w:rsidRPr="00E36DF5" w:rsidRDefault="00775260" w:rsidP="00E36DF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>Как видно из рассмотрения рис</w:t>
      </w:r>
      <w:r w:rsidR="00E36DF5"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>унка 1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уровень шума самолета за десятилетие снижается примерно на </w:t>
      </w:r>
      <w:r w:rsidR="00C90223"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>~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10 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EPN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дБ, причем более </w:t>
      </w:r>
      <w:r w:rsidR="00C90223"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>~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90% шума самолета составляет шум двигателей. Снижению уровня шума способствовало внедрение двигателей с большой степенью двухконтурности (1970-1980-е годы), что позволило резко уменьшить шум струи, а также разработка эффективных звукопоглощающих покрытий. В 1990-2000-е годы основной источник шума </w:t>
      </w:r>
      <w:r w:rsidR="00E36DF5"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это лопаточные машины, пре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жде всего вентилятор. В настоящее время при изготовлении двигателей разрабатываются и внедряются конструкционные мероприятия в целях снижения уровня шума в источнике (снижение уровня окружных скоро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стей, специальное профилирование лопаточных машин, учет нестацио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нарных взаимодействий в венцах лопаточных машин и др.).</w:t>
      </w:r>
    </w:p>
    <w:p w:rsidR="00C90223" w:rsidRPr="00E36DF5" w:rsidRDefault="00C90223" w:rsidP="00E36DF5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>Все эти мероприятия для создаваемых самолетов обеспечили сни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 xml:space="preserve">жение уровня шума на -20 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EPN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дБ по сравнению с действующими в насто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ящее время нормами Главы 4 ИКАО, что делает актуальным введение в ближайшее время нового уровня требований - Главы 5 ИКАО (рис</w:t>
      </w:r>
      <w:r w:rsidR="00060E9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="00E36DF5"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>).</w:t>
      </w:r>
    </w:p>
    <w:p w:rsidR="00775260" w:rsidRPr="00E36DF5" w:rsidRDefault="00C90223" w:rsidP="00522F8E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Следует отметить, что в нормах по шуму не только выдвигаются в нескольких аэропортах требования к экологическим характеристикам разрабатываемых самолетов, но и стимулируется обновление парка эксплуатируемых самолетов. Так, ИКАО в 1995 г. дало рекомендации на постепенный вывод из эксплуатации воздушных судов, не отвечающих нормам Главы 3. С апреля 2002 г. их эксплуатация запрещена. С 2003 г. Европейским Сообществом введены ограничения на использование самолетов, не удовлетворяющих нормам Главы 3 ИКАО - 5 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EPN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дБ. В ближайшее время, по-видимому, ограничения будут расширяться и уже</w:t>
      </w:r>
      <w:r w:rsidRPr="00E36DF5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сточаться.</w:t>
      </w:r>
    </w:p>
    <w:p w:rsidR="00522F8E" w:rsidRPr="00327AC1" w:rsidRDefault="00C90223" w:rsidP="00133024">
      <w:pPr>
        <w:spacing w:after="0" w:line="360" w:lineRule="auto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5759450" cy="3069407"/>
            <wp:effectExtent l="19050" t="0" r="0" b="0"/>
            <wp:docPr id="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69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2F8E" w:rsidRPr="00133024" w:rsidRDefault="00522F8E" w:rsidP="00522F8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133024">
        <w:rPr>
          <w:rFonts w:ascii="Times New Roman" w:hAnsi="Times New Roman" w:cs="Times New Roman"/>
          <w:sz w:val="24"/>
          <w:szCs w:val="24"/>
        </w:rPr>
        <w:t>Рис</w:t>
      </w:r>
      <w:r w:rsidR="00060E98">
        <w:rPr>
          <w:rFonts w:ascii="Times New Roman" w:hAnsi="Times New Roman" w:cs="Times New Roman"/>
          <w:sz w:val="24"/>
          <w:szCs w:val="24"/>
        </w:rPr>
        <w:t>.</w:t>
      </w:r>
      <w:r w:rsidRPr="00133024"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Pr="00133024">
        <w:rPr>
          <w:rFonts w:ascii="Times New Roman" w:hAnsi="Times New Roman" w:cs="Times New Roman"/>
          <w:sz w:val="24"/>
          <w:szCs w:val="24"/>
        </w:rPr>
        <w:t xml:space="preserve"> – </w:t>
      </w:r>
      <w:r w:rsidR="00C90223">
        <w:rPr>
          <w:rFonts w:ascii="Times New Roman" w:hAnsi="Times New Roman" w:cs="Times New Roman"/>
          <w:sz w:val="24"/>
          <w:szCs w:val="24"/>
        </w:rPr>
        <w:t xml:space="preserve">Изменение шума </w:t>
      </w:r>
      <w:r w:rsidR="00E36DF5">
        <w:rPr>
          <w:rFonts w:ascii="Times New Roman" w:hAnsi="Times New Roman" w:cs="Times New Roman"/>
          <w:sz w:val="24"/>
          <w:szCs w:val="24"/>
        </w:rPr>
        <w:t>самолетов по годам</w:t>
      </w:r>
    </w:p>
    <w:p w:rsidR="00214E5D" w:rsidRDefault="00214E5D" w:rsidP="00522F8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214E5D" w:rsidRDefault="00214E5D" w:rsidP="00522F8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522F8E" w:rsidRDefault="00522F8E" w:rsidP="00522F8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327AC1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2. Шум реактивного двигателя</w:t>
      </w:r>
    </w:p>
    <w:p w:rsidR="00132C34" w:rsidRPr="00132C34" w:rsidRDefault="00132C34" w:rsidP="00132C3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>Основной шум производят двигатель и планер самолётов. При разбеге и взлёте доминирует шум двигателя. При крейсерском полёте и посадке шум, вызываемый обтеканием воздухом элементов планера, по уровню приближается к шуму двигателя.</w:t>
      </w:r>
    </w:p>
    <w:p w:rsidR="00132C34" w:rsidRPr="00132C34" w:rsidRDefault="00132C34" w:rsidP="00132C3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Большие резервы по снижению шума дала замена обычного турбореактивного двигателя (ТРД) двухконтурным турбореактивным двигателем (ТРДД). Вентилятор в переднем отделе ТРДД подаёт часть воздуха в компрессор, а часть пускает вокруг него по второму внешнему контуру. Струя воздуха на выходе из сопла первого контура смешивается с более холодным воздухом второго контура, снижает свою скорость, температуру и соответственно турбулентность.</w:t>
      </w:r>
    </w:p>
    <w:p w:rsidR="00132C34" w:rsidRPr="00132C34" w:rsidRDefault="00132C34" w:rsidP="00132C3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>Современные ТРДД могут иметь воздухозаборник диаметром около 3 м, в котором размещён многолопастный вентилятор с лопатками очень сложной конфигурации. Уровень шума удается снизить подбором закрутки лопаток, их количества и расстояния между ними.</w:t>
      </w:r>
    </w:p>
    <w:p w:rsidR="00132C34" w:rsidRPr="00132C34" w:rsidRDefault="00132C34" w:rsidP="00132C3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>Для успешного продвижения в области акустического совершенствования авиадвигателей требуется детальное понимание процессов, приводящих к генерации шума, и выявление основных факторов, определяющих его уровень. Это невозможно без проведения детального численного анализа и экспериментальных исследований.</w:t>
      </w:r>
    </w:p>
    <w:p w:rsidR="00132C34" w:rsidRPr="00132C34" w:rsidRDefault="00132C34" w:rsidP="00132C3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>При повышенных ценах на топливо становится привлекательной схема двигателя с открытым ротором. Исследователи пытаются оценить возможность поддержания уровня шума в пределах Главы 4 путем проектирования лопаток, но при этом использовании новых более совершенных способов сохранить или даже превзойти ранее полученный уров</w:t>
      </w:r>
      <w:r w:rsidR="00060E98">
        <w:rPr>
          <w:rFonts w:ascii="Times New Roman" w:eastAsia="Times New Roman" w:hAnsi="Times New Roman" w:cs="Times New Roman"/>
          <w:color w:val="000000"/>
          <w:sz w:val="28"/>
          <w:szCs w:val="28"/>
        </w:rPr>
        <w:t>ень экономической эффективности</w:t>
      </w: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132C34" w:rsidRPr="00132C34" w:rsidRDefault="00132C34" w:rsidP="00132C3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>Главным источником шума в ТРДД является вентилятор</w:t>
      </w:r>
      <w:r w:rsidR="002B196D" w:rsidRPr="002B196D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[1], [2]</w:t>
      </w: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В настоящее время разработаны следующие основные способы снижения </w:t>
      </w: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шума одноступенчатого вентилятора: отказ от ВНА вентилятора, пониженная окружная скорость рабочего колеса, оптимальное соотношение чисел лопаток СА и рабочего колеса, увеличенное расстояние между ними. Следует отметить, что, с одной стороны применение турбовентиляторов с высокой частотой вращения позволяет снизить массу двигателя, с другой требование по уровню шума заставляет ограничивать частоту вращения значениями, соответствующими окружным скоростям 400 - 450 м/с. Решение этого противоречия возможно путем применения редуктора между валом вентилятора и валом турбины. Уменьшение частоты вращения вентилятора приводит к уменьшению уровня шума. Фирма Пратт-Уитни, базируясь на своем более чем 20-летнем опыте, вложив более $ 1 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>рд, разработали ТРДД с редуктором. Среди других способов снижения шума вентилятора является способ снижения шума в процессе распространения его из воздухозаборника и выходного устройства. Этот способ включает облицовку стенок проточной части звукопоглощающими конструкциями (ЗПК). Применение ЗПК важно и тем, что при этом в конструкцию двигателя никаких изменений не вносится.</w:t>
      </w:r>
    </w:p>
    <w:p w:rsidR="00132C34" w:rsidRPr="00132C34" w:rsidRDefault="00132C34" w:rsidP="00132C3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>Шум вентилятора также можно снизить</w:t>
      </w:r>
      <w:r w:rsidR="00686818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если воздухозаборник сделать скошенным, чтобы его нижняя часть выступала вперёд, то звуковая волна от работающего вентилятора пойдёт вверх и не будет достигать земли</w:t>
      </w:r>
      <w:r w:rsidR="00686818">
        <w:rPr>
          <w:rFonts w:ascii="Times New Roman" w:eastAsia="Times New Roman" w:hAnsi="Times New Roman" w:cs="Times New Roman"/>
          <w:color w:val="000000"/>
          <w:sz w:val="28"/>
          <w:szCs w:val="28"/>
        </w:rPr>
        <w:t>, так называемая «губа».</w:t>
      </w:r>
    </w:p>
    <w:p w:rsidR="00132C34" w:rsidRPr="00132C34" w:rsidRDefault="00132C34" w:rsidP="00132C3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Сегодня разработка ЗПК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самостоятельная область акустики. По принципу работы звукопоглощающие конструкции, выполняющие функции звуковых фильтров, разделяют на два типа: резонансные и диссипативные (с рассеиванием энергии). В резонансных ЗПК энергия падающей звуковой волны гасится за счёт возбуждения вынужденных колебаний воздуха в замкнутых объёмах резонаторов. В диссипативных </w:t>
      </w: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ЗПК потеря акустической энергии происходит за счёт трения частиц в пористых структурах из гомогенного материала.</w:t>
      </w:r>
    </w:p>
    <w:p w:rsidR="00132C34" w:rsidRPr="00132C34" w:rsidRDefault="00132C34" w:rsidP="00132C3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>Резонансные ЗПК, применяемые в системах шумопоглощения авиационных двигателей, представляют собой одно- или двухслойные сотовые конструкции. Свойства звукопоглощающих материалов и устройств основаны на многократном отражении звуковых волн от большого числа стенок открытых сообщающихся между собой пор, выполненных, например, в виде многослойных панелей из неметал</w:t>
      </w: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лических перфорированных обшивок с сотовым заполнителем.</w:t>
      </w:r>
    </w:p>
    <w:p w:rsidR="00132C34" w:rsidRPr="00132C34" w:rsidRDefault="00132C34" w:rsidP="00132C3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>Пример размещения звукопоглощающих конструкций в ТРДД с высокой степенью двухконтурности приведен на рис</w:t>
      </w:r>
      <w:r w:rsidR="00060E9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2</w:t>
      </w:r>
      <w:r w:rsidRPr="00132C34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A36BC" w:rsidRPr="00327AC1" w:rsidRDefault="00DA36BC" w:rsidP="00DA36B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327AC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98975" cy="3702050"/>
            <wp:effectExtent l="19050" t="0" r="62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229" cy="3704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6BC" w:rsidRPr="00133024" w:rsidRDefault="00060E98" w:rsidP="00DA36B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</w:t>
      </w:r>
      <w:r w:rsidR="00DA36BC" w:rsidRPr="00133024">
        <w:rPr>
          <w:rFonts w:ascii="Times New Roman" w:hAnsi="Times New Roman" w:cs="Times New Roman"/>
          <w:sz w:val="24"/>
          <w:szCs w:val="24"/>
        </w:rPr>
        <w:t xml:space="preserve"> </w:t>
      </w:r>
      <w:r w:rsidR="00DA36BC" w:rsidRPr="00133024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 w:rsidR="00DA36BC" w:rsidRPr="00133024">
        <w:rPr>
          <w:rFonts w:ascii="Times New Roman" w:hAnsi="Times New Roman" w:cs="Times New Roman"/>
          <w:sz w:val="24"/>
          <w:szCs w:val="24"/>
        </w:rPr>
        <w:t xml:space="preserve"> – Примеры применения звукопоглощающих конструкций</w:t>
      </w:r>
    </w:p>
    <w:p w:rsidR="00214E5D" w:rsidRDefault="00214E5D" w:rsidP="00DA36B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A36BC" w:rsidRPr="00327AC1" w:rsidRDefault="00DA36BC" w:rsidP="00DA36B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>Двухслойные ЗПК могут быть настроены не на одну, а на две частоты, но у обоих типов полоса гасимых частот достаточно узкая. На рис</w:t>
      </w:r>
      <w:r w:rsidR="00060E9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3 показан пример двухслойного ЗПК для большого ТРДД.</w:t>
      </w:r>
    </w:p>
    <w:p w:rsidR="00DA36BC" w:rsidRPr="00327AC1" w:rsidRDefault="00DA36BC" w:rsidP="00DA36B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A36BC" w:rsidRPr="00327AC1" w:rsidRDefault="00DA36BC" w:rsidP="00DA36B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27AC1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123536" cy="3252100"/>
            <wp:effectExtent l="19050" t="0" r="914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225" cy="3251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6BC" w:rsidRPr="00133024" w:rsidRDefault="00DA36BC" w:rsidP="00DA36B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133024">
        <w:rPr>
          <w:rFonts w:ascii="Times New Roman" w:hAnsi="Times New Roman" w:cs="Times New Roman"/>
          <w:sz w:val="24"/>
          <w:szCs w:val="24"/>
        </w:rPr>
        <w:t>Рис</w:t>
      </w:r>
      <w:r w:rsidR="00060E98">
        <w:rPr>
          <w:rFonts w:ascii="Times New Roman" w:hAnsi="Times New Roman" w:cs="Times New Roman"/>
          <w:sz w:val="24"/>
          <w:szCs w:val="24"/>
        </w:rPr>
        <w:t>.</w:t>
      </w:r>
      <w:r w:rsidRPr="00133024">
        <w:rPr>
          <w:rFonts w:ascii="Times New Roman" w:hAnsi="Times New Roman" w:cs="Times New Roman"/>
          <w:sz w:val="24"/>
          <w:szCs w:val="24"/>
        </w:rPr>
        <w:t xml:space="preserve"> </w:t>
      </w:r>
      <w:r w:rsidRPr="0013302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 </w:t>
      </w:r>
      <w:r w:rsidRPr="00133024">
        <w:rPr>
          <w:rFonts w:ascii="Times New Roman" w:hAnsi="Times New Roman" w:cs="Times New Roman"/>
          <w:sz w:val="24"/>
          <w:szCs w:val="24"/>
        </w:rPr>
        <w:t>– Пример двухслойного ЗПК для большого ТРДД</w:t>
      </w:r>
    </w:p>
    <w:p w:rsidR="00214E5D" w:rsidRDefault="00214E5D" w:rsidP="00DA36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A36BC" w:rsidRPr="00327AC1" w:rsidRDefault="00DA36BC" w:rsidP="00DA36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Предполагается, что двухслойные звукопоглощающие конструкции смогут обеспечить запас по уровню шума относительно новых норм ИКАО по шуму. </w:t>
      </w:r>
      <w:r w:rsidR="00686818">
        <w:rPr>
          <w:rFonts w:ascii="Times New Roman" w:eastAsia="Times New Roman" w:hAnsi="Times New Roman" w:cs="Times New Roman"/>
          <w:color w:val="000000"/>
          <w:sz w:val="28"/>
          <w:szCs w:val="28"/>
        </w:rPr>
        <w:t>Возможно решение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задачи звукопоглощения через динамическое поведение конструкции с нахождением спектра собственных частот и форм колебаний конструкции. Зная частоты свободных и вынужденных колебаний конструкции, можно прогнозировать явление резонанса. При резонансе звукопоглощающая конструкция сама станет источником сильных звуковых волн. Используя различные наполнители, различное объемное содержание наполнителей и применяя гибридные схемы армирования, можно изменять спектр частот, выдаваемых конструкцией и таким образом выбирать наилучший вариант конструкции, при котором число критических частот в рабочем диапазоне будет минимально.</w:t>
      </w:r>
    </w:p>
    <w:p w:rsidR="00DA36BC" w:rsidRPr="00327AC1" w:rsidRDefault="00DA36BC" w:rsidP="00DA36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 всех усовершенствований, которые имели место в ТРДД за последние тридцать лет, половину снижения шума дало применение звукопоглощающей акустической облицовки в каналах силовой установки. Обычно, при правильном проектировании, ЗПК в воздухозаборнике 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обеспечивают снижение шума на 5 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EPN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дБ. Облицовка выходных каналов ТРДД </w:t>
      </w:r>
      <w:r w:rsidR="00560737"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горячего и холодного </w:t>
      </w:r>
      <w:r w:rsidR="00560737"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дает в 2 раза большее снижение шума. Если учесть, что пригодные для размещения ЗПК площади в ТРДД весьма ограничены, а звукопоглощающие конструкции должны быть легкими и надежно работать в предельно неблагоприятной окружающей среде (широкий диапазон температур, высокие скорости потока, присутствие влаги), то по акустическим меркам этот результат является уникальным.</w:t>
      </w:r>
    </w:p>
    <w:p w:rsidR="00DA36BC" w:rsidRPr="00327AC1" w:rsidRDefault="00DA36BC" w:rsidP="00DA36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>К сожалению, применение звукопоглощающих конструкций не только удорожает самолет, но утяжеляет его конструкцию и соответственно ухудшает экономические показатели из-за повышенного расхода топлива.</w:t>
      </w:r>
    </w:p>
    <w:p w:rsidR="00DA36BC" w:rsidRPr="00327AC1" w:rsidRDefault="00DA36BC" w:rsidP="00DA36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современных технологий показывает, что практически невозможно создать шумоглушащее сопло, которое обеспечивало бы снижения шума струи более 10 дБ при приемлемых пот</w:t>
      </w:r>
      <w:r w:rsidR="00686818">
        <w:rPr>
          <w:rFonts w:ascii="Times New Roman" w:eastAsia="Times New Roman" w:hAnsi="Times New Roman" w:cs="Times New Roman"/>
          <w:color w:val="000000"/>
          <w:sz w:val="28"/>
          <w:szCs w:val="28"/>
        </w:rPr>
        <w:t>ерях тяги на крейсерском режиме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="00686818">
        <w:rPr>
          <w:rFonts w:ascii="Times New Roman" w:eastAsia="Times New Roman" w:hAnsi="Times New Roman" w:cs="Times New Roman"/>
          <w:color w:val="000000"/>
          <w:sz w:val="28"/>
          <w:szCs w:val="28"/>
        </w:rPr>
        <w:t>Сопло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должно работать как шумоглушитель на режиме взлета и трансформироваться в обычное сужающееся-расширяющееся сопло на крейсер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softHyphen/>
        <w:t>ском режиме. Примерами могут быть разработанные в ЦАГИ и ЦИАМ схемы миксера-эжектора (плоского и осесимметричного), изображенные на рис</w:t>
      </w:r>
      <w:r w:rsidR="00060E9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060E98"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 w:rsidR="002B196D" w:rsidRPr="002B196D">
        <w:rPr>
          <w:rFonts w:ascii="Times New Roman" w:eastAsia="Times New Roman" w:hAnsi="Times New Roman" w:cs="Times New Roman"/>
          <w:color w:val="000000"/>
          <w:sz w:val="28"/>
          <w:szCs w:val="28"/>
        </w:rPr>
        <w:t>, [3]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A36BC" w:rsidRPr="00327AC1" w:rsidRDefault="00DA36BC" w:rsidP="00DA36BC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27AC1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4578829" cy="2151656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215" cy="2152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6BC" w:rsidRPr="00133024" w:rsidRDefault="00DA36BC" w:rsidP="00DA36BC">
      <w:pPr>
        <w:shd w:val="clear" w:color="auto" w:fill="FFFFFF"/>
        <w:autoSpaceDE w:val="0"/>
        <w:autoSpaceDN w:val="0"/>
        <w:adjustRightInd w:val="0"/>
        <w:spacing w:after="24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3024">
        <w:rPr>
          <w:rFonts w:ascii="Times New Roman" w:eastAsia="Times New Roman" w:hAnsi="Times New Roman" w:cs="Times New Roman"/>
          <w:color w:val="000000"/>
          <w:sz w:val="24"/>
          <w:szCs w:val="24"/>
        </w:rPr>
        <w:t>Рис</w:t>
      </w:r>
      <w:r w:rsidR="002B196D" w:rsidRPr="002B196D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302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060E98"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 w:rsidRPr="0013302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Схемы регулируемых сопл типа «миксер-эжектор»: </w:t>
      </w:r>
      <w:r w:rsidRPr="0013302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а </w:t>
      </w:r>
      <w:r w:rsidRPr="0013302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— плоское сопло; </w:t>
      </w:r>
      <w:r w:rsidRPr="0013302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б </w:t>
      </w:r>
      <w:r w:rsidRPr="00133024">
        <w:rPr>
          <w:rFonts w:ascii="Times New Roman" w:eastAsia="Times New Roman" w:hAnsi="Times New Roman" w:cs="Times New Roman"/>
          <w:color w:val="000000"/>
          <w:sz w:val="24"/>
          <w:szCs w:val="24"/>
        </w:rPr>
        <w:t>— осесимметричное сопло</w:t>
      </w:r>
    </w:p>
    <w:p w:rsidR="00DA36BC" w:rsidRPr="00327AC1" w:rsidRDefault="00DA36BC" w:rsidP="00DA36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Задачей проведенных исследований была разработка технологии пористых </w:t>
      </w:r>
      <w:r w:rsidR="00732753"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высокотемпературных металлокерамоматричных композитов </w:t>
      </w:r>
      <w:r w:rsidR="00C7706B"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(ВМПКМ) </w:t>
      </w:r>
      <w:r w:rsidR="00732753"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 влияние </w:t>
      </w:r>
      <w:r w:rsidR="00686818">
        <w:rPr>
          <w:rFonts w:ascii="Times New Roman" w:eastAsia="Times New Roman" w:hAnsi="Times New Roman" w:cs="Times New Roman"/>
          <w:color w:val="000000"/>
          <w:sz w:val="28"/>
          <w:szCs w:val="28"/>
        </w:rPr>
        <w:t>плотности, толщины и</w:t>
      </w:r>
      <w:r w:rsidR="00732753"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размеров пор </w:t>
      </w:r>
      <w:r w:rsidR="0068681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ЗПК </w:t>
      </w:r>
      <w:r w:rsidR="00732753"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>на акустические характеристики.</w:t>
      </w:r>
    </w:p>
    <w:p w:rsidR="00732753" w:rsidRPr="00327AC1" w:rsidRDefault="00732753" w:rsidP="00732753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получения акустических характеристик образцов материалов был использован интерферометр типа 4206 фирмы Брюль&amp;Къер (Дания). Прибор соответствует требованиям международных стандартов 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ISO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10532-2 и 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ASTM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1080-98. Интерферометр использует двухмикрофонный метод измерения акустических параметров образцов, включая коэффициент поглощения звука, коэффициент отражения и импеданс в частотном диапазоне от 500 Гц до 6,4 кГц. В основе лежит измерение падающей и отражённой составляющих случайного шума, генерируемого с помощью расположенного на стенке импедансной трубы источника звука. Измерения внутри трубы выполняются с помощью 1/4″ конденсаторных микрофонов типа 4187. Частотная характеристика таких микрофонов (при заделке заподлицо) составляет ±1 дБ на частотах от 1 Гц до 8 кГц. Толщина тестируемых образцов не должна превышать 200 мм, а их диаметр должен быть не более 29 мм (рис</w:t>
      </w:r>
      <w:r w:rsidR="00060E9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060E98"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). </w:t>
      </w:r>
    </w:p>
    <w:p w:rsidR="00732753" w:rsidRPr="00327AC1" w:rsidRDefault="00732753" w:rsidP="00732753">
      <w:pPr>
        <w:shd w:val="clear" w:color="auto" w:fill="FFFFFF"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object w:dxaOrig="8070" w:dyaOrig="47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0.35pt;height:149pt" o:ole="">
            <v:imagedata r:id="rId11" o:title=""/>
          </v:shape>
          <o:OLEObject Type="Embed" ProgID="PBrush" ShapeID="_x0000_i1025" DrawAspect="Content" ObjectID="_1490086893" r:id="rId12"/>
        </w:object>
      </w:r>
    </w:p>
    <w:p w:rsidR="00732753" w:rsidRPr="00133024" w:rsidRDefault="00732753" w:rsidP="00133024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33024">
        <w:rPr>
          <w:rFonts w:ascii="Times New Roman" w:eastAsia="Times New Roman" w:hAnsi="Times New Roman" w:cs="Times New Roman"/>
          <w:color w:val="000000"/>
          <w:sz w:val="24"/>
          <w:szCs w:val="24"/>
        </w:rPr>
        <w:t>Рис</w:t>
      </w:r>
      <w:r w:rsidR="00060E98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3302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060E98"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 w:rsidRPr="0013302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Конфигурация системы измерения акустических характеристик образцов материалов</w:t>
      </w:r>
    </w:p>
    <w:p w:rsidR="00214E5D" w:rsidRDefault="00214E5D" w:rsidP="00732753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75212" w:rsidRDefault="00732753" w:rsidP="00732753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проведения испытаний </w:t>
      </w:r>
      <w:r w:rsidR="00775212"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>порист</w:t>
      </w:r>
      <w:r w:rsidR="00775212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="00775212"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высокотемпературн</w:t>
      </w:r>
      <w:r w:rsidR="00775212">
        <w:rPr>
          <w:rFonts w:ascii="Times New Roman" w:eastAsia="Times New Roman" w:hAnsi="Times New Roman" w:cs="Times New Roman"/>
          <w:color w:val="000000"/>
          <w:sz w:val="28"/>
          <w:szCs w:val="28"/>
        </w:rPr>
        <w:t>ого</w:t>
      </w:r>
      <w:r w:rsidR="00775212"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металлокерамоматричн</w:t>
      </w:r>
      <w:r w:rsidR="0077521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ого 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композиционного материала «Диарсик» было 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изготовлено 283 образца 66-ти типоразмеров с варьируемыми параметрами по плотности</w:t>
      </w:r>
      <w:r w:rsidR="001B782C"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>размеру пор</w:t>
      </w:r>
      <w:r w:rsidR="0077521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толщине (таблица 1)</w:t>
      </w:r>
      <w:r w:rsidRPr="00327AC1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060E98" w:rsidRPr="00775212" w:rsidRDefault="00060E98" w:rsidP="00060E98">
      <w:pPr>
        <w:keepNext/>
        <w:keepLines/>
        <w:spacing w:before="200" w:after="240" w:line="288" w:lineRule="auto"/>
        <w:jc w:val="center"/>
        <w:outlineLvl w:val="3"/>
        <w:rPr>
          <w:rFonts w:ascii="Cambria" w:eastAsia="Times New Roman" w:hAnsi="Cambria" w:cs="Times New Roman"/>
          <w:b/>
          <w:bCs/>
          <w:i/>
          <w:iCs/>
          <w:sz w:val="24"/>
          <w:lang w:eastAsia="en-US"/>
        </w:rPr>
      </w:pPr>
      <w:r w:rsidRPr="00775212">
        <w:rPr>
          <w:rFonts w:ascii="Cambria" w:eastAsia="Times New Roman" w:hAnsi="Cambria" w:cs="Times New Roman"/>
          <w:b/>
          <w:bCs/>
          <w:i/>
          <w:iCs/>
          <w:sz w:val="24"/>
          <w:lang w:eastAsia="en-US"/>
        </w:rPr>
        <w:t>Образцы со средним</w:t>
      </w:r>
      <w:r>
        <w:rPr>
          <w:rFonts w:ascii="Cambria" w:eastAsia="Times New Roman" w:hAnsi="Cambria" w:cs="Times New Roman"/>
          <w:b/>
          <w:bCs/>
          <w:i/>
          <w:iCs/>
          <w:sz w:val="24"/>
          <w:lang w:eastAsia="en-US"/>
        </w:rPr>
        <w:t xml:space="preserve"> диаметром пор равным 1 мм</w:t>
      </w:r>
    </w:p>
    <w:p w:rsidR="00060E98" w:rsidRPr="00775212" w:rsidRDefault="00060E98" w:rsidP="00060E98">
      <w:pPr>
        <w:spacing w:after="0" w:line="288" w:lineRule="auto"/>
        <w:ind w:firstLine="567"/>
        <w:jc w:val="center"/>
        <w:rPr>
          <w:rFonts w:ascii="Times New Roman" w:eastAsia="Calibri" w:hAnsi="Times New Roman" w:cs="Times New Roman"/>
          <w:sz w:val="24"/>
          <w:lang w:eastAsia="en-US"/>
        </w:rPr>
      </w:pPr>
      <w:r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>
            <wp:extent cx="3950335" cy="2948305"/>
            <wp:effectExtent l="19050" t="0" r="0" b="0"/>
            <wp:docPr id="1" name="Рисунок 5" descr="100_2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100_276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335" cy="2948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E98" w:rsidRPr="00775212" w:rsidRDefault="00060E98" w:rsidP="00060E98">
      <w:pPr>
        <w:spacing w:after="0" w:line="288" w:lineRule="auto"/>
        <w:ind w:firstLine="567"/>
        <w:rPr>
          <w:rFonts w:ascii="Times New Roman" w:eastAsia="Calibri" w:hAnsi="Times New Roman" w:cs="Times New Roman"/>
          <w:sz w:val="24"/>
          <w:lang w:eastAsia="en-US"/>
        </w:rPr>
      </w:pPr>
    </w:p>
    <w:p w:rsidR="00060E98" w:rsidRPr="00775212" w:rsidRDefault="00060E98" w:rsidP="00060E98">
      <w:pPr>
        <w:spacing w:after="0" w:line="288" w:lineRule="auto"/>
        <w:ind w:firstLine="567"/>
        <w:jc w:val="center"/>
        <w:rPr>
          <w:rFonts w:ascii="Times New Roman" w:eastAsia="Calibri" w:hAnsi="Times New Roman" w:cs="Times New Roman"/>
          <w:sz w:val="24"/>
          <w:lang w:eastAsia="en-US"/>
        </w:rPr>
      </w:pP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Рис. </w:t>
      </w:r>
      <w:r>
        <w:rPr>
          <w:rFonts w:ascii="Times New Roman" w:eastAsia="Calibri" w:hAnsi="Times New Roman" w:cs="Times New Roman"/>
          <w:sz w:val="24"/>
          <w:lang w:eastAsia="en-US"/>
        </w:rPr>
        <w:t>6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 </w:t>
      </w:r>
      <w:r w:rsidR="002B196D" w:rsidRPr="002B196D">
        <w:rPr>
          <w:rFonts w:ascii="Times New Roman" w:eastAsia="Calibri" w:hAnsi="Times New Roman" w:cs="Times New Roman"/>
          <w:sz w:val="24"/>
          <w:lang w:eastAsia="en-US"/>
        </w:rPr>
        <w:t xml:space="preserve">– 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>Образцы для измерения шумопоглощения на интерферометре,</w:t>
      </w:r>
    </w:p>
    <w:p w:rsidR="00060E98" w:rsidRDefault="00060E98" w:rsidP="00060E98">
      <w:pPr>
        <w:spacing w:after="0" w:line="288" w:lineRule="auto"/>
        <w:ind w:firstLine="567"/>
        <w:jc w:val="center"/>
        <w:rPr>
          <w:rFonts w:ascii="Times New Roman" w:eastAsia="Calibri" w:hAnsi="Times New Roman" w:cs="Times New Roman"/>
          <w:sz w:val="24"/>
          <w:lang w:eastAsia="en-US"/>
        </w:rPr>
      </w:pPr>
      <w:r w:rsidRPr="00775212">
        <w:rPr>
          <w:rFonts w:ascii="Times New Roman" w:eastAsia="Calibri" w:hAnsi="Times New Roman" w:cs="Times New Roman"/>
          <w:sz w:val="24"/>
          <w:lang w:eastAsia="en-US"/>
        </w:rPr>
        <w:t>плотностью 0,73 г/см</w:t>
      </w:r>
      <w:r w:rsidRPr="00775212">
        <w:rPr>
          <w:rFonts w:ascii="Times New Roman" w:eastAsia="Calibri" w:hAnsi="Times New Roman" w:cs="Times New Roman"/>
          <w:sz w:val="24"/>
          <w:vertAlign w:val="superscript"/>
          <w:lang w:eastAsia="en-US"/>
        </w:rPr>
        <w:t>3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 со средним размером отверстий 1 мм</w:t>
      </w:r>
    </w:p>
    <w:p w:rsidR="00214E5D" w:rsidRDefault="00214E5D" w:rsidP="00060E98">
      <w:pPr>
        <w:spacing w:after="0" w:line="288" w:lineRule="auto"/>
        <w:ind w:firstLine="567"/>
        <w:jc w:val="center"/>
        <w:rPr>
          <w:rFonts w:ascii="Times New Roman" w:eastAsia="Calibri" w:hAnsi="Times New Roman" w:cs="Times New Roman"/>
          <w:sz w:val="24"/>
          <w:lang w:eastAsia="en-US"/>
        </w:rPr>
      </w:pPr>
    </w:p>
    <w:p w:rsidR="00214E5D" w:rsidRPr="00775212" w:rsidRDefault="00214E5D" w:rsidP="00214E5D">
      <w:pPr>
        <w:spacing w:after="0" w:line="288" w:lineRule="auto"/>
        <w:ind w:firstLine="567"/>
        <w:rPr>
          <w:rFonts w:ascii="Times New Roman" w:eastAsia="Calibri" w:hAnsi="Times New Roman" w:cs="Times New Roman"/>
          <w:sz w:val="24"/>
          <w:lang w:eastAsia="en-US"/>
        </w:rPr>
      </w:pPr>
    </w:p>
    <w:p w:rsidR="00214E5D" w:rsidRPr="00775212" w:rsidRDefault="00214E5D" w:rsidP="00214E5D">
      <w:pPr>
        <w:spacing w:after="0" w:line="288" w:lineRule="auto"/>
        <w:ind w:firstLine="567"/>
        <w:jc w:val="center"/>
        <w:rPr>
          <w:rFonts w:ascii="Times New Roman" w:eastAsia="Calibri" w:hAnsi="Times New Roman" w:cs="Times New Roman"/>
          <w:sz w:val="24"/>
          <w:lang w:eastAsia="en-US"/>
        </w:rPr>
      </w:pPr>
      <w:r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>
            <wp:extent cx="3980459" cy="2465222"/>
            <wp:effectExtent l="19050" t="0" r="991" b="0"/>
            <wp:docPr id="2" name="Рисунок 8" descr="IMG_2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IMG_262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b="17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0459" cy="2465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4E5D" w:rsidRPr="00775212" w:rsidRDefault="00214E5D" w:rsidP="00214E5D">
      <w:pPr>
        <w:spacing w:after="0" w:line="288" w:lineRule="auto"/>
        <w:ind w:firstLine="567"/>
        <w:jc w:val="center"/>
        <w:rPr>
          <w:rFonts w:ascii="Times New Roman" w:eastAsia="Calibri" w:hAnsi="Times New Roman" w:cs="Times New Roman"/>
          <w:sz w:val="24"/>
          <w:lang w:eastAsia="en-US"/>
        </w:rPr>
      </w:pP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Рис. </w:t>
      </w:r>
      <w:r>
        <w:rPr>
          <w:rFonts w:ascii="Times New Roman" w:eastAsia="Calibri" w:hAnsi="Times New Roman" w:cs="Times New Roman"/>
          <w:sz w:val="24"/>
          <w:lang w:eastAsia="en-US"/>
        </w:rPr>
        <w:t>7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 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– 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>Образцы для измерения шумопоглощения на интерферометре,</w:t>
      </w:r>
    </w:p>
    <w:p w:rsidR="00214E5D" w:rsidRPr="00775212" w:rsidRDefault="00214E5D" w:rsidP="00214E5D">
      <w:pPr>
        <w:spacing w:after="0" w:line="288" w:lineRule="auto"/>
        <w:ind w:firstLine="567"/>
        <w:jc w:val="center"/>
        <w:rPr>
          <w:rFonts w:ascii="Times New Roman" w:eastAsia="Calibri" w:hAnsi="Times New Roman" w:cs="Times New Roman"/>
          <w:sz w:val="24"/>
          <w:lang w:eastAsia="en-US"/>
        </w:rPr>
      </w:pPr>
      <w:r w:rsidRPr="00775212">
        <w:rPr>
          <w:rFonts w:ascii="Times New Roman" w:eastAsia="Calibri" w:hAnsi="Times New Roman" w:cs="Times New Roman"/>
          <w:sz w:val="24"/>
          <w:lang w:eastAsia="en-US"/>
        </w:rPr>
        <w:t>плотностью 0,73 г/см</w:t>
      </w:r>
      <w:r w:rsidRPr="00775212">
        <w:rPr>
          <w:rFonts w:ascii="Times New Roman" w:eastAsia="Calibri" w:hAnsi="Times New Roman" w:cs="Times New Roman"/>
          <w:sz w:val="24"/>
          <w:vertAlign w:val="superscript"/>
          <w:lang w:eastAsia="en-US"/>
        </w:rPr>
        <w:t>3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 со средним размером отверстий 1 мм</w:t>
      </w:r>
    </w:p>
    <w:p w:rsidR="00214E5D" w:rsidRDefault="00214E5D" w:rsidP="00060E98">
      <w:pPr>
        <w:spacing w:after="0" w:line="288" w:lineRule="auto"/>
        <w:ind w:firstLine="567"/>
        <w:jc w:val="center"/>
        <w:rPr>
          <w:rFonts w:ascii="Times New Roman" w:eastAsia="Calibri" w:hAnsi="Times New Roman" w:cs="Times New Roman"/>
          <w:sz w:val="24"/>
          <w:lang w:eastAsia="en-US"/>
        </w:rPr>
      </w:pPr>
    </w:p>
    <w:p w:rsidR="00214E5D" w:rsidRDefault="00214E5D" w:rsidP="00060E98">
      <w:pPr>
        <w:spacing w:after="0" w:line="288" w:lineRule="auto"/>
        <w:ind w:firstLine="567"/>
        <w:jc w:val="center"/>
        <w:rPr>
          <w:rFonts w:ascii="Times New Roman" w:eastAsia="Calibri" w:hAnsi="Times New Roman" w:cs="Times New Roman"/>
          <w:sz w:val="24"/>
          <w:lang w:eastAsia="en-US"/>
        </w:rPr>
      </w:pPr>
    </w:p>
    <w:p w:rsidR="00214E5D" w:rsidRDefault="00214E5D" w:rsidP="00060E98">
      <w:pPr>
        <w:spacing w:after="0" w:line="288" w:lineRule="auto"/>
        <w:ind w:firstLine="567"/>
        <w:jc w:val="center"/>
        <w:rPr>
          <w:rFonts w:ascii="Times New Roman" w:eastAsia="Calibri" w:hAnsi="Times New Roman" w:cs="Times New Roman"/>
          <w:sz w:val="24"/>
          <w:lang w:eastAsia="en-US"/>
        </w:rPr>
      </w:pPr>
    </w:p>
    <w:p w:rsidR="00214E5D" w:rsidRDefault="00214E5D" w:rsidP="00060E98">
      <w:pPr>
        <w:spacing w:after="0" w:line="288" w:lineRule="auto"/>
        <w:ind w:firstLine="567"/>
        <w:jc w:val="center"/>
        <w:rPr>
          <w:rFonts w:ascii="Times New Roman" w:eastAsia="Calibri" w:hAnsi="Times New Roman" w:cs="Times New Roman"/>
          <w:sz w:val="24"/>
          <w:lang w:eastAsia="en-US"/>
        </w:rPr>
      </w:pPr>
    </w:p>
    <w:p w:rsidR="00214E5D" w:rsidRPr="00214E5D" w:rsidRDefault="00775212" w:rsidP="00214E5D">
      <w:pPr>
        <w:suppressAutoHyphens/>
        <w:spacing w:after="12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214E5D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lastRenderedPageBreak/>
        <w:t>Таблица 1</w:t>
      </w:r>
    </w:p>
    <w:p w:rsidR="00775212" w:rsidRPr="00214E5D" w:rsidRDefault="00775212" w:rsidP="00214E5D">
      <w:pPr>
        <w:suppressAutoHyphens/>
        <w:spacing w:after="12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214E5D"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  <w:t>Параметры образцов для акустических измерений</w:t>
      </w:r>
    </w:p>
    <w:tbl>
      <w:tblPr>
        <w:tblW w:w="0" w:type="auto"/>
        <w:jc w:val="center"/>
        <w:tblInd w:w="108" w:type="dxa"/>
        <w:tblLayout w:type="fixed"/>
        <w:tblLook w:val="0000"/>
      </w:tblPr>
      <w:tblGrid>
        <w:gridCol w:w="2438"/>
        <w:gridCol w:w="2438"/>
        <w:gridCol w:w="1914"/>
        <w:gridCol w:w="2071"/>
      </w:tblGrid>
      <w:tr w:rsidR="00775212" w:rsidRPr="00775212" w:rsidTr="00214E5D">
        <w:trPr>
          <w:jc w:val="center"/>
        </w:trPr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Диаметр пор (мм)</w:t>
            </w:r>
          </w:p>
        </w:tc>
        <w:tc>
          <w:tcPr>
            <w:tcW w:w="2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75212" w:rsidRPr="00775212" w:rsidRDefault="00775212" w:rsidP="00775212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Плотность</w:t>
            </w:r>
          </w:p>
          <w:p w:rsidR="00775212" w:rsidRPr="00775212" w:rsidRDefault="00775212" w:rsidP="00775212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образцов (г/см</w:t>
            </w:r>
            <w:r w:rsidRPr="00775212">
              <w:rPr>
                <w:rFonts w:ascii="Times New Roman" w:eastAsia="Calibri" w:hAnsi="Times New Roman" w:cs="Times New Roman"/>
                <w:vertAlign w:val="superscript"/>
                <w:lang w:eastAsia="en-US"/>
              </w:rPr>
              <w:t>3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75212" w:rsidRPr="00775212" w:rsidRDefault="00775212" w:rsidP="00775212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Высота образцов (мм)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75212" w:rsidRPr="00775212" w:rsidRDefault="00775212" w:rsidP="00775212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Количество образцов (шт.)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ind w:firstLine="72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2</w:t>
            </w: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0,84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20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0,56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20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</w:t>
            </w: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0,73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11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12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20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11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0,6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20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0,5</w:t>
            </w: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0,3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11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7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0,64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9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0,75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0,95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11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11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1,02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0,45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12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11</w:t>
            </w:r>
          </w:p>
        </w:tc>
      </w:tr>
      <w:tr w:rsidR="00775212" w:rsidRPr="00775212" w:rsidTr="00214E5D">
        <w:trPr>
          <w:trHeight w:val="255"/>
          <w:jc w:val="center"/>
        </w:trPr>
        <w:tc>
          <w:tcPr>
            <w:tcW w:w="2438" w:type="dxa"/>
            <w:vMerge w:val="restart"/>
            <w:tcBorders>
              <w:top w:val="single" w:sz="4" w:space="0" w:color="auto"/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0,35</w:t>
            </w: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0,75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trHeight w:val="375"/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775212" w:rsidRPr="00775212" w:rsidRDefault="00775212" w:rsidP="00775212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20</w:t>
            </w:r>
          </w:p>
        </w:tc>
        <w:tc>
          <w:tcPr>
            <w:tcW w:w="207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775212" w:rsidRPr="00775212" w:rsidRDefault="00775212" w:rsidP="00775212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1,07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775212" w:rsidRPr="00775212" w:rsidRDefault="00775212" w:rsidP="00775212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20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775212" w:rsidRPr="00775212" w:rsidRDefault="00775212" w:rsidP="00775212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1,37</w:t>
            </w: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trHeight w:val="408"/>
          <w:jc w:val="center"/>
        </w:trPr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775212" w:rsidRPr="00775212" w:rsidRDefault="00775212" w:rsidP="00775212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left w:val="single" w:sz="4" w:space="0" w:color="000000"/>
            </w:tcBorders>
            <w:shd w:val="clear" w:color="auto" w:fill="auto"/>
          </w:tcPr>
          <w:p w:rsidR="00775212" w:rsidRPr="00775212" w:rsidRDefault="00775212" w:rsidP="00775212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15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  <w:tr w:rsidR="00775212" w:rsidRPr="00775212" w:rsidTr="00214E5D">
        <w:trPr>
          <w:trHeight w:val="375"/>
          <w:jc w:val="center"/>
        </w:trPr>
        <w:tc>
          <w:tcPr>
            <w:tcW w:w="243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75212" w:rsidRPr="00775212" w:rsidRDefault="00775212" w:rsidP="00775212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2438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75212" w:rsidRPr="00775212" w:rsidRDefault="00775212" w:rsidP="00775212">
            <w:pPr>
              <w:snapToGrid w:val="0"/>
              <w:spacing w:after="0" w:line="288" w:lineRule="auto"/>
              <w:ind w:firstLine="567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ind w:firstLine="15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20</w:t>
            </w:r>
          </w:p>
        </w:tc>
        <w:tc>
          <w:tcPr>
            <w:tcW w:w="207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75212" w:rsidRPr="00775212" w:rsidRDefault="00775212" w:rsidP="00214E5D">
            <w:pPr>
              <w:snapToGrid w:val="0"/>
              <w:spacing w:after="0" w:line="288" w:lineRule="auto"/>
              <w:jc w:val="center"/>
              <w:rPr>
                <w:rFonts w:ascii="Times New Roman" w:eastAsia="Calibri" w:hAnsi="Times New Roman" w:cs="Times New Roman"/>
                <w:sz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10</w:t>
            </w:r>
          </w:p>
        </w:tc>
      </w:tr>
    </w:tbl>
    <w:p w:rsidR="00775212" w:rsidRDefault="00775212" w:rsidP="00732753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75212" w:rsidRPr="00060E98" w:rsidRDefault="00775212" w:rsidP="00060E9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На рис. </w:t>
      </w:r>
      <w:r w:rsidR="00060E98">
        <w:rPr>
          <w:rFonts w:ascii="Times New Roman" w:eastAsia="Calibri" w:hAnsi="Times New Roman" w:cs="Times New Roman"/>
          <w:sz w:val="28"/>
          <w:szCs w:val="28"/>
          <w:lang w:eastAsia="en-US"/>
        </w:rPr>
        <w:t>8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>-</w:t>
      </w:r>
      <w:r w:rsidR="00060E98">
        <w:rPr>
          <w:rFonts w:ascii="Times New Roman" w:eastAsia="Calibri" w:hAnsi="Times New Roman" w:cs="Times New Roman"/>
          <w:sz w:val="28"/>
          <w:szCs w:val="28"/>
          <w:lang w:eastAsia="en-US"/>
        </w:rPr>
        <w:t>9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и </w:t>
      </w:r>
      <w:r w:rsidR="00060E98">
        <w:rPr>
          <w:rFonts w:ascii="Times New Roman" w:eastAsia="Calibri" w:hAnsi="Times New Roman" w:cs="Times New Roman"/>
          <w:sz w:val="28"/>
          <w:szCs w:val="28"/>
          <w:lang w:eastAsia="en-US"/>
        </w:rPr>
        <w:t>10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>-1</w:t>
      </w:r>
      <w:r w:rsidR="00060E98">
        <w:rPr>
          <w:rFonts w:ascii="Times New Roman" w:eastAsia="Calibri" w:hAnsi="Times New Roman" w:cs="Times New Roman"/>
          <w:sz w:val="28"/>
          <w:szCs w:val="28"/>
          <w:lang w:eastAsia="en-US"/>
        </w:rPr>
        <w:t>1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приведены коэффициент поглощения, действительная и мнимая части импеданса образцов пористого материала, имеющих средний диаметр пор 1 мм. Плотность пористого материала составляла 0.60 и 0.73 г/см</w:t>
      </w:r>
      <w:r w:rsidRPr="00060E98">
        <w:rPr>
          <w:rFonts w:ascii="Times New Roman" w:eastAsia="Calibri" w:hAnsi="Times New Roman" w:cs="Times New Roman"/>
          <w:sz w:val="28"/>
          <w:szCs w:val="28"/>
          <w:vertAlign w:val="superscript"/>
          <w:lang w:eastAsia="en-US"/>
        </w:rPr>
        <w:t>3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. Видно, что для образцов плотностью 0.60 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>г/см</w:t>
      </w:r>
      <w:r w:rsidRPr="00060E98">
        <w:rPr>
          <w:rFonts w:ascii="Times New Roman" w:eastAsia="Calibri" w:hAnsi="Times New Roman" w:cs="Times New Roman"/>
          <w:sz w:val="28"/>
          <w:szCs w:val="28"/>
          <w:vertAlign w:val="superscript"/>
          <w:lang w:eastAsia="en-US"/>
        </w:rPr>
        <w:t xml:space="preserve">3 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>коэффициент поглощения составляет 0.5-0.7, а для образцов плотностью 0.73 г/см</w:t>
      </w:r>
      <w:r w:rsidRPr="00060E98">
        <w:rPr>
          <w:rFonts w:ascii="Times New Roman" w:eastAsia="Calibri" w:hAnsi="Times New Roman" w:cs="Times New Roman"/>
          <w:sz w:val="28"/>
          <w:szCs w:val="28"/>
          <w:vertAlign w:val="superscript"/>
          <w:lang w:eastAsia="en-US"/>
        </w:rPr>
        <w:t xml:space="preserve">3  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>он равен 0.45-0.6. Эти результаты показывают, что данные образцы не будут выбраны для дальнейшего исследования.</w:t>
      </w:r>
    </w:p>
    <w:p w:rsidR="00775212" w:rsidRPr="00775212" w:rsidRDefault="00775212" w:rsidP="00060E98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На рис. </w:t>
      </w:r>
      <w:r w:rsidR="00060E98">
        <w:rPr>
          <w:rFonts w:ascii="Times New Roman" w:eastAsia="Calibri" w:hAnsi="Times New Roman" w:cs="Times New Roman"/>
          <w:sz w:val="28"/>
          <w:szCs w:val="28"/>
          <w:lang w:eastAsia="en-US"/>
        </w:rPr>
        <w:t>12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>-1</w:t>
      </w:r>
      <w:r w:rsidR="00060E98">
        <w:rPr>
          <w:rFonts w:ascii="Times New Roman" w:eastAsia="Calibri" w:hAnsi="Times New Roman" w:cs="Times New Roman"/>
          <w:sz w:val="28"/>
          <w:szCs w:val="28"/>
          <w:lang w:eastAsia="en-US"/>
        </w:rPr>
        <w:t>3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и 1</w:t>
      </w:r>
      <w:r w:rsidR="00060E98">
        <w:rPr>
          <w:rFonts w:ascii="Times New Roman" w:eastAsia="Calibri" w:hAnsi="Times New Roman" w:cs="Times New Roman"/>
          <w:sz w:val="28"/>
          <w:szCs w:val="28"/>
          <w:lang w:eastAsia="en-US"/>
        </w:rPr>
        <w:t>4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>-</w:t>
      </w:r>
      <w:r w:rsidR="00060E98">
        <w:rPr>
          <w:rFonts w:ascii="Times New Roman" w:eastAsia="Calibri" w:hAnsi="Times New Roman" w:cs="Times New Roman"/>
          <w:sz w:val="28"/>
          <w:szCs w:val="28"/>
          <w:lang w:eastAsia="en-US"/>
        </w:rPr>
        <w:t>15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приведены коэффициент поглощения, действительная и мнимая части импеданса образцов пористого материала различной плотности. Средний диаметр пор составлял </w:t>
      </w:r>
      <w:r w:rsidRPr="00060E98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d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=0.5 мм, толщина образцов  - </w:t>
      </w:r>
      <w:r w:rsidRPr="00060E98">
        <w:rPr>
          <w:rFonts w:ascii="Times New Roman" w:eastAsia="Calibri" w:hAnsi="Times New Roman" w:cs="Times New Roman"/>
          <w:sz w:val="28"/>
          <w:szCs w:val="28"/>
          <w:lang w:val="en-US" w:eastAsia="en-US"/>
        </w:rPr>
        <w:t>h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>=10 и 15 мм. Плотность материала варьировалась в пределах 0.3 – 1.02 г/см</w:t>
      </w:r>
      <w:r w:rsidRPr="00060E98">
        <w:rPr>
          <w:rFonts w:ascii="Times New Roman" w:eastAsia="Calibri" w:hAnsi="Times New Roman" w:cs="Times New Roman"/>
          <w:sz w:val="28"/>
          <w:szCs w:val="28"/>
          <w:vertAlign w:val="superscript"/>
          <w:lang w:eastAsia="en-US"/>
        </w:rPr>
        <w:t>3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>. Видно, что плотность образца материала оказывает наибольшее воздействие на коэффициент поглощения. При плотности равной 0.3 г/см</w:t>
      </w:r>
      <w:r w:rsidRPr="00060E98">
        <w:rPr>
          <w:rFonts w:ascii="Times New Roman" w:eastAsia="Calibri" w:hAnsi="Times New Roman" w:cs="Times New Roman"/>
          <w:sz w:val="28"/>
          <w:szCs w:val="28"/>
          <w:vertAlign w:val="superscript"/>
          <w:lang w:eastAsia="en-US"/>
        </w:rPr>
        <w:t xml:space="preserve">3 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>коэффициент поглощения едва превышает значение 0.5. При повышении плотности от 0.45 до 0.75 г/см</w:t>
      </w:r>
      <w:r w:rsidRPr="00060E98">
        <w:rPr>
          <w:rFonts w:ascii="Times New Roman" w:eastAsia="Calibri" w:hAnsi="Times New Roman" w:cs="Times New Roman"/>
          <w:sz w:val="28"/>
          <w:szCs w:val="28"/>
          <w:vertAlign w:val="superscript"/>
          <w:lang w:eastAsia="en-US"/>
        </w:rPr>
        <w:t xml:space="preserve">3 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>коэффициент поглощения сначала растет и достигает максимума α=0.97 при значении плотности равного 0.75 г/см</w:t>
      </w:r>
      <w:r w:rsidRPr="00060E98">
        <w:rPr>
          <w:rFonts w:ascii="Times New Roman" w:eastAsia="Calibri" w:hAnsi="Times New Roman" w:cs="Times New Roman"/>
          <w:sz w:val="28"/>
          <w:szCs w:val="28"/>
          <w:vertAlign w:val="superscript"/>
          <w:lang w:eastAsia="en-US"/>
        </w:rPr>
        <w:t>3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>, а затем снижается до α=0.75 при значениях плотности 0.95 и 1.02 г/см</w:t>
      </w:r>
      <w:r w:rsidRPr="00060E98">
        <w:rPr>
          <w:rFonts w:ascii="Times New Roman" w:eastAsia="Calibri" w:hAnsi="Times New Roman" w:cs="Times New Roman"/>
          <w:sz w:val="28"/>
          <w:szCs w:val="28"/>
          <w:vertAlign w:val="superscript"/>
          <w:lang w:eastAsia="en-US"/>
        </w:rPr>
        <w:t>3</w:t>
      </w:r>
      <w:r w:rsidRPr="00060E98">
        <w:rPr>
          <w:rFonts w:ascii="Times New Roman" w:eastAsia="Calibri" w:hAnsi="Times New Roman" w:cs="Times New Roman"/>
          <w:sz w:val="28"/>
          <w:szCs w:val="28"/>
          <w:lang w:eastAsia="en-US"/>
        </w:rPr>
        <w:t>.</w:t>
      </w:r>
    </w:p>
    <w:p w:rsidR="00775212" w:rsidRPr="00775212" w:rsidRDefault="00775212" w:rsidP="00775212">
      <w:pPr>
        <w:spacing w:after="120" w:line="288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>
            <wp:extent cx="3730625" cy="2435860"/>
            <wp:effectExtent l="19050" t="0" r="3175" b="0"/>
            <wp:docPr id="17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625" cy="243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212" w:rsidRPr="002B196D" w:rsidRDefault="00775212" w:rsidP="00775212">
      <w:pPr>
        <w:spacing w:after="120" w:line="288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Рис.</w:t>
      </w:r>
      <w:r w:rsidR="00060E98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8</w:t>
      </w:r>
      <w:r w:rsidR="002B196D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Коэффициент поглощения (α) образцов пористого материала. Плотность ρ=0.60 г/см</w:t>
      </w:r>
      <w:r w:rsidRPr="002B196D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3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, средний диаметр пор </w:t>
      </w:r>
      <w:r w:rsidRPr="002B196D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d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=1 мм.</w:t>
      </w:r>
    </w:p>
    <w:tbl>
      <w:tblPr>
        <w:tblW w:w="0" w:type="auto"/>
        <w:tblLook w:val="04A0"/>
      </w:tblPr>
      <w:tblGrid>
        <w:gridCol w:w="4755"/>
        <w:gridCol w:w="4531"/>
      </w:tblGrid>
      <w:tr w:rsidR="00775212" w:rsidRPr="00775212" w:rsidTr="00775212">
        <w:tc>
          <w:tcPr>
            <w:tcW w:w="4785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lastRenderedPageBreak/>
              <w:drawing>
                <wp:inline distT="0" distB="0" distL="0" distR="0">
                  <wp:extent cx="3086735" cy="2011680"/>
                  <wp:effectExtent l="19050" t="0" r="0" b="0"/>
                  <wp:docPr id="171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735" cy="2011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933700" cy="1909445"/>
                  <wp:effectExtent l="19050" t="0" r="0" b="0"/>
                  <wp:docPr id="172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1909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212" w:rsidRPr="00775212" w:rsidTr="00775212">
        <w:tc>
          <w:tcPr>
            <w:tcW w:w="4785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Действительная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Re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  <w:tc>
          <w:tcPr>
            <w:tcW w:w="4786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мнимая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Im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</w:tr>
    </w:tbl>
    <w:p w:rsidR="00775212" w:rsidRPr="002B196D" w:rsidRDefault="00775212" w:rsidP="00775212">
      <w:pPr>
        <w:spacing w:after="120" w:line="288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9</w:t>
      </w:r>
      <w:r w:rsidR="002B196D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Импеданс образцов пористого материала плотностью 0.60 г/см</w:t>
      </w:r>
      <w:r w:rsidRPr="002B196D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3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, диаметром пор 1мм.</w:t>
      </w:r>
    </w:p>
    <w:p w:rsidR="00775212" w:rsidRPr="00775212" w:rsidRDefault="00775212" w:rsidP="00775212">
      <w:pPr>
        <w:spacing w:after="120" w:line="288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>
            <wp:extent cx="3613785" cy="2355215"/>
            <wp:effectExtent l="19050" t="0" r="5715" b="0"/>
            <wp:docPr id="17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3785" cy="235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212" w:rsidRPr="002B196D" w:rsidRDefault="00775212" w:rsidP="00775212">
      <w:pPr>
        <w:spacing w:after="120" w:line="288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10</w:t>
      </w:r>
      <w:r w:rsidR="002B196D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Коэффициент поглощения (α) образцов пористого материала. Плотность ρ=0.73 г/см</w:t>
      </w:r>
      <w:r w:rsidRPr="002B196D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3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, средний диаметр пор </w:t>
      </w:r>
      <w:r w:rsidRPr="002B196D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d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=1 мм.</w:t>
      </w:r>
    </w:p>
    <w:tbl>
      <w:tblPr>
        <w:tblW w:w="0" w:type="auto"/>
        <w:tblLook w:val="04A0"/>
      </w:tblPr>
      <w:tblGrid>
        <w:gridCol w:w="4601"/>
        <w:gridCol w:w="4685"/>
      </w:tblGrid>
      <w:tr w:rsidR="00775212" w:rsidRPr="00775212" w:rsidTr="00775212">
        <w:tc>
          <w:tcPr>
            <w:tcW w:w="4733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962910" cy="1931035"/>
                  <wp:effectExtent l="19050" t="0" r="8890" b="0"/>
                  <wp:docPr id="174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910" cy="1931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8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3028315" cy="1974850"/>
                  <wp:effectExtent l="19050" t="0" r="635" b="0"/>
                  <wp:docPr id="175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315" cy="1974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212" w:rsidRPr="00775212" w:rsidTr="00775212">
        <w:tc>
          <w:tcPr>
            <w:tcW w:w="4733" w:type="dxa"/>
          </w:tcPr>
          <w:p w:rsidR="00775212" w:rsidRPr="00775212" w:rsidRDefault="00775212" w:rsidP="0077521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Действительная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Re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  <w:tc>
          <w:tcPr>
            <w:tcW w:w="4838" w:type="dxa"/>
          </w:tcPr>
          <w:p w:rsidR="00775212" w:rsidRPr="00775212" w:rsidRDefault="00775212" w:rsidP="0077521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Мнимая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Im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</w:tr>
    </w:tbl>
    <w:p w:rsidR="00775212" w:rsidRPr="002B196D" w:rsidRDefault="00775212" w:rsidP="00775212">
      <w:pPr>
        <w:spacing w:after="120" w:line="288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11</w:t>
      </w:r>
      <w:r w:rsidR="002B196D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Импеданс образцов пористого материала плотностью 0.73 г/см</w:t>
      </w:r>
      <w:r w:rsidRPr="002B196D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3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, диаметром пор 1мм.</w:t>
      </w:r>
    </w:p>
    <w:p w:rsidR="00775212" w:rsidRPr="00775212" w:rsidRDefault="00775212" w:rsidP="00775212">
      <w:pPr>
        <w:spacing w:after="120" w:line="288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noProof/>
          <w:sz w:val="24"/>
        </w:rPr>
        <w:lastRenderedPageBreak/>
        <w:drawing>
          <wp:inline distT="0" distB="0" distL="0" distR="0">
            <wp:extent cx="3630685" cy="2368146"/>
            <wp:effectExtent l="19050" t="0" r="7865" b="0"/>
            <wp:docPr id="1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0845" cy="2368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212" w:rsidRPr="002B196D" w:rsidRDefault="00775212" w:rsidP="00775212">
      <w:pPr>
        <w:spacing w:after="12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12</w:t>
      </w:r>
      <w:r w:rsidR="002B196D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Коэффициент поглощения (α) образцов пористого материала различной плотности Средний диаметр пор </w:t>
      </w:r>
      <w:r w:rsidRPr="002B196D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d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=0.5 мм, толщина образцов </w:t>
      </w:r>
      <w:r w:rsidRPr="002B196D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h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=10 мм.</w:t>
      </w:r>
    </w:p>
    <w:tbl>
      <w:tblPr>
        <w:tblW w:w="0" w:type="auto"/>
        <w:tblLayout w:type="fixed"/>
        <w:tblLook w:val="04A0"/>
      </w:tblPr>
      <w:tblGrid>
        <w:gridCol w:w="4644"/>
        <w:gridCol w:w="4927"/>
      </w:tblGrid>
      <w:tr w:rsidR="00775212" w:rsidRPr="00775212" w:rsidTr="00775212">
        <w:tc>
          <w:tcPr>
            <w:tcW w:w="4644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131602" cy="2084832"/>
                  <wp:effectExtent l="19050" t="0" r="1998" b="0"/>
                  <wp:docPr id="18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 r="333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083" cy="2086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775212" w:rsidRPr="00775212" w:rsidRDefault="00775212" w:rsidP="00775212">
            <w:pPr>
              <w:spacing w:after="120" w:line="288" w:lineRule="auto"/>
              <w:ind w:firstLine="34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863502" cy="1923898"/>
                  <wp:effectExtent l="19050" t="0" r="0" b="0"/>
                  <wp:docPr id="18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103" cy="1923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212" w:rsidRPr="00775212" w:rsidTr="00775212">
        <w:tc>
          <w:tcPr>
            <w:tcW w:w="4644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Действительная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Re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  <w:tc>
          <w:tcPr>
            <w:tcW w:w="4927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Мнимая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Im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</w:tr>
    </w:tbl>
    <w:p w:rsidR="00775212" w:rsidRPr="002B196D" w:rsidRDefault="00775212" w:rsidP="00775212">
      <w:pPr>
        <w:spacing w:after="12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13</w:t>
      </w:r>
      <w:r w:rsidR="002B196D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Импеданс образцов пористого материала различной плотности. Средний диаметр пор </w:t>
      </w:r>
      <w:r w:rsidRPr="002B196D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d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=0.5 мм, толщина образцов </w:t>
      </w:r>
      <w:r w:rsidRPr="002B196D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h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=10 мм.</w:t>
      </w:r>
    </w:p>
    <w:p w:rsidR="00775212" w:rsidRPr="00775212" w:rsidRDefault="00775212" w:rsidP="00775212">
      <w:pPr>
        <w:spacing w:after="120" w:line="288" w:lineRule="auto"/>
        <w:jc w:val="center"/>
        <w:rPr>
          <w:rFonts w:ascii="Times New Roman" w:eastAsia="Calibri" w:hAnsi="Times New Roman" w:cs="Times New Roman"/>
          <w:sz w:val="24"/>
          <w:lang w:eastAsia="en-US"/>
        </w:rPr>
      </w:pPr>
      <w:r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>
            <wp:extent cx="3957320" cy="2582545"/>
            <wp:effectExtent l="19050" t="0" r="5080" b="0"/>
            <wp:docPr id="18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320" cy="2582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212" w:rsidRPr="002B196D" w:rsidRDefault="00775212" w:rsidP="00775212">
      <w:pPr>
        <w:spacing w:after="120" w:line="240" w:lineRule="auto"/>
        <w:jc w:val="center"/>
        <w:rPr>
          <w:rFonts w:ascii="Times New Roman" w:eastAsia="Calibri" w:hAnsi="Times New Roman" w:cs="Times New Roman"/>
          <w:sz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lang w:eastAsia="en-US"/>
        </w:rPr>
        <w:t>14</w:t>
      </w:r>
      <w:r w:rsidR="002B196D" w:rsidRPr="002B196D">
        <w:rPr>
          <w:rFonts w:ascii="Times New Roman" w:eastAsia="Calibri" w:hAnsi="Times New Roman" w:cs="Times New Roman"/>
          <w:sz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Коэффициент поглощения (α) образцов пористого материала различной плотности Средний диаметр пор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d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=0.5 мм, толщина образцов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h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>=10 мм.</w:t>
      </w:r>
    </w:p>
    <w:p w:rsidR="00775212" w:rsidRPr="00775212" w:rsidRDefault="00775212" w:rsidP="00775212">
      <w:pPr>
        <w:spacing w:after="120" w:line="240" w:lineRule="auto"/>
        <w:jc w:val="center"/>
        <w:rPr>
          <w:rFonts w:ascii="Times New Roman" w:eastAsia="Calibri" w:hAnsi="Times New Roman" w:cs="Times New Roman"/>
          <w:lang w:eastAsia="en-US"/>
        </w:rPr>
      </w:pPr>
    </w:p>
    <w:tbl>
      <w:tblPr>
        <w:tblW w:w="0" w:type="auto"/>
        <w:tblLook w:val="04A0"/>
      </w:tblPr>
      <w:tblGrid>
        <w:gridCol w:w="4466"/>
        <w:gridCol w:w="4820"/>
      </w:tblGrid>
      <w:tr w:rsidR="00775212" w:rsidRPr="00775212" w:rsidTr="00775212">
        <w:tc>
          <w:tcPr>
            <w:tcW w:w="4610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3145790" cy="2048510"/>
                  <wp:effectExtent l="19050" t="0" r="0" b="0"/>
                  <wp:docPr id="186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5790" cy="2048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3401695" cy="2216785"/>
                  <wp:effectExtent l="19050" t="0" r="8255" b="0"/>
                  <wp:docPr id="187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1695" cy="2216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212" w:rsidRPr="00775212" w:rsidTr="00775212">
        <w:tc>
          <w:tcPr>
            <w:tcW w:w="4610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Действительная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Re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  <w:tc>
          <w:tcPr>
            <w:tcW w:w="4961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Мнимая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Im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</w:tr>
    </w:tbl>
    <w:p w:rsidR="00775212" w:rsidRPr="002B196D" w:rsidRDefault="00775212" w:rsidP="00775212">
      <w:pPr>
        <w:spacing w:after="12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15</w:t>
      </w:r>
      <w:r w:rsidR="002B196D"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Импеданс образцов пористого материала различной плотности. Средний диаметр пор </w:t>
      </w:r>
      <w:r w:rsidRPr="002B196D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d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=0.5 мм, толщина образцов </w:t>
      </w:r>
      <w:r w:rsidRPr="002B196D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h</w:t>
      </w:r>
      <w:r w:rsidRPr="002B196D">
        <w:rPr>
          <w:rFonts w:ascii="Times New Roman" w:eastAsia="Calibri" w:hAnsi="Times New Roman" w:cs="Times New Roman"/>
          <w:sz w:val="24"/>
          <w:szCs w:val="24"/>
          <w:lang w:eastAsia="en-US"/>
        </w:rPr>
        <w:t>=15 мм.</w:t>
      </w:r>
    </w:p>
    <w:p w:rsidR="00214E5D" w:rsidRDefault="00214E5D" w:rsidP="00060E9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lang w:eastAsia="en-US"/>
        </w:rPr>
      </w:pPr>
    </w:p>
    <w:p w:rsidR="00775212" w:rsidRPr="00775212" w:rsidRDefault="00775212" w:rsidP="00060E9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lang w:eastAsia="en-US"/>
        </w:rPr>
      </w:pP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На рис. </w:t>
      </w:r>
      <w:r w:rsidR="00060E98">
        <w:rPr>
          <w:rFonts w:ascii="Times New Roman" w:eastAsia="Calibri" w:hAnsi="Times New Roman" w:cs="Times New Roman"/>
          <w:sz w:val="24"/>
          <w:lang w:eastAsia="en-US"/>
        </w:rPr>
        <w:t>12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 и </w:t>
      </w:r>
      <w:r w:rsidR="00060E98">
        <w:rPr>
          <w:rFonts w:ascii="Times New Roman" w:eastAsia="Calibri" w:hAnsi="Times New Roman" w:cs="Times New Roman"/>
          <w:sz w:val="24"/>
          <w:lang w:eastAsia="en-US"/>
        </w:rPr>
        <w:t>14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 показано, что коэффициент поглощения превышает величину 0.8 у образцов диаметром пор 0.5мм, имеющих плотность 0.64; 0.75; 0.95 г/см</w:t>
      </w:r>
      <w:r w:rsidRPr="00775212">
        <w:rPr>
          <w:rFonts w:ascii="Times New Roman" w:eastAsia="Calibri" w:hAnsi="Times New Roman" w:cs="Times New Roman"/>
          <w:sz w:val="24"/>
          <w:vertAlign w:val="superscript"/>
          <w:lang w:eastAsia="en-US"/>
        </w:rPr>
        <w:t>3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>, причем α</w:t>
      </w:r>
      <w:r w:rsidRPr="00775212">
        <w:rPr>
          <w:rFonts w:ascii="Times New Roman" w:eastAsia="Calibri" w:hAnsi="Times New Roman" w:cs="Times New Roman"/>
          <w:sz w:val="24"/>
          <w:vertAlign w:val="subscript"/>
          <w:lang w:val="en-US" w:eastAsia="en-US"/>
        </w:rPr>
        <w:t>max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 , достигающая значения 0.98, наблюдается у образца плотностью 0.75. </w:t>
      </w:r>
    </w:p>
    <w:p w:rsidR="00775212" w:rsidRPr="00775212" w:rsidRDefault="00775212" w:rsidP="00060E9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На рис. </w:t>
      </w:r>
      <w:r w:rsidR="00060E98">
        <w:rPr>
          <w:rFonts w:ascii="Times New Roman" w:eastAsia="Calibri" w:hAnsi="Times New Roman" w:cs="Times New Roman"/>
          <w:sz w:val="24"/>
          <w:lang w:eastAsia="en-US"/>
        </w:rPr>
        <w:t>16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>-</w:t>
      </w:r>
      <w:r w:rsidR="00060E98">
        <w:rPr>
          <w:rFonts w:ascii="Times New Roman" w:eastAsia="Calibri" w:hAnsi="Times New Roman" w:cs="Times New Roman"/>
          <w:sz w:val="24"/>
          <w:lang w:eastAsia="en-US"/>
        </w:rPr>
        <w:t>21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 приведены коэффициент поглощения, действительная и мнимая части импеданса образцов пористого материала различной плотности, средний диаметр пор которых составлял </w:t>
      </w:r>
      <w:r w:rsidRPr="00775212">
        <w:rPr>
          <w:rFonts w:ascii="Times New Roman" w:eastAsia="Calibri" w:hAnsi="Times New Roman" w:cs="Times New Roman"/>
          <w:sz w:val="24"/>
          <w:lang w:val="en-US" w:eastAsia="en-US"/>
        </w:rPr>
        <w:t>d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=0.35 мм, толщина образцов  - </w:t>
      </w:r>
      <w:r w:rsidRPr="00775212">
        <w:rPr>
          <w:rFonts w:ascii="Times New Roman" w:eastAsia="Calibri" w:hAnsi="Times New Roman" w:cs="Times New Roman"/>
          <w:sz w:val="24"/>
          <w:lang w:val="en-US" w:eastAsia="en-US"/>
        </w:rPr>
        <w:t>h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>=10, 15 и 20 мм. Плотность материала варьировалась в пределах 0.75 – 1.37 г/см</w:t>
      </w:r>
      <w:r w:rsidRPr="00775212">
        <w:rPr>
          <w:rFonts w:ascii="Times New Roman" w:eastAsia="Calibri" w:hAnsi="Times New Roman" w:cs="Times New Roman"/>
          <w:sz w:val="24"/>
          <w:vertAlign w:val="superscript"/>
          <w:lang w:eastAsia="en-US"/>
        </w:rPr>
        <w:t>3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. </w:t>
      </w:r>
    </w:p>
    <w:p w:rsidR="00775212" w:rsidRPr="00775212" w:rsidRDefault="00775212" w:rsidP="00060E9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775212">
        <w:rPr>
          <w:rFonts w:ascii="Times New Roman" w:eastAsia="Calibri" w:hAnsi="Times New Roman" w:cs="Times New Roman"/>
          <w:sz w:val="24"/>
          <w:lang w:eastAsia="en-US"/>
        </w:rPr>
        <w:t>В результате исследований получено, что при толщине 10 мм образцы материала, имеющие плотность 1.07 и 1.37 г/см</w:t>
      </w:r>
      <w:r w:rsidRPr="00775212">
        <w:rPr>
          <w:rFonts w:ascii="Times New Roman" w:eastAsia="Calibri" w:hAnsi="Times New Roman" w:cs="Times New Roman"/>
          <w:sz w:val="24"/>
          <w:vertAlign w:val="superscript"/>
          <w:lang w:eastAsia="en-US"/>
        </w:rPr>
        <w:t>3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, имеют высокий коэффициент поглощения равный 0.94-0.98 (рис. </w:t>
      </w:r>
      <w:r w:rsidR="00060E98">
        <w:rPr>
          <w:rFonts w:ascii="Times New Roman" w:eastAsia="Calibri" w:hAnsi="Times New Roman" w:cs="Times New Roman"/>
          <w:sz w:val="24"/>
          <w:lang w:eastAsia="en-US"/>
        </w:rPr>
        <w:t>16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>). При толщине 15 мм образцы с плотностью 1.37 г/см</w:t>
      </w:r>
      <w:r w:rsidRPr="00775212">
        <w:rPr>
          <w:rFonts w:ascii="Times New Roman" w:eastAsia="Calibri" w:hAnsi="Times New Roman" w:cs="Times New Roman"/>
          <w:sz w:val="24"/>
          <w:vertAlign w:val="superscript"/>
          <w:lang w:eastAsia="en-US"/>
        </w:rPr>
        <w:t>3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 достигают максимально возможного коэффициента поглощения равного 0.99-1.0, а образцы с плотностью 0.75 г/см</w:t>
      </w:r>
      <w:r w:rsidRPr="00775212">
        <w:rPr>
          <w:rFonts w:ascii="Times New Roman" w:eastAsia="Calibri" w:hAnsi="Times New Roman" w:cs="Times New Roman"/>
          <w:sz w:val="24"/>
          <w:vertAlign w:val="superscript"/>
          <w:lang w:eastAsia="en-US"/>
        </w:rPr>
        <w:t>3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 достигают лишь значений в районе 0.7 (рис. </w:t>
      </w:r>
      <w:r w:rsidR="00060E98">
        <w:rPr>
          <w:rFonts w:ascii="Times New Roman" w:eastAsia="Calibri" w:hAnsi="Times New Roman" w:cs="Times New Roman"/>
          <w:sz w:val="24"/>
          <w:lang w:eastAsia="en-US"/>
        </w:rPr>
        <w:t>18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>). Коэффициент поглощения образцов толщиной 20 мм также превышает величину 0.9 при плотности 1.07 и 1.37 г/см</w:t>
      </w:r>
      <w:r w:rsidRPr="00775212">
        <w:rPr>
          <w:rFonts w:ascii="Times New Roman" w:eastAsia="Calibri" w:hAnsi="Times New Roman" w:cs="Times New Roman"/>
          <w:sz w:val="24"/>
          <w:vertAlign w:val="superscript"/>
          <w:lang w:eastAsia="en-US"/>
        </w:rPr>
        <w:t>3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>, а при плотности равной 0.75 г/см</w:t>
      </w:r>
      <w:r w:rsidRPr="00775212">
        <w:rPr>
          <w:rFonts w:ascii="Times New Roman" w:eastAsia="Calibri" w:hAnsi="Times New Roman" w:cs="Times New Roman"/>
          <w:sz w:val="24"/>
          <w:vertAlign w:val="superscript"/>
          <w:lang w:eastAsia="en-US"/>
        </w:rPr>
        <w:t>3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 коэффициент поглощения не превышает значения 0.7 (рис. </w:t>
      </w:r>
      <w:r w:rsidR="00060E98">
        <w:rPr>
          <w:rFonts w:ascii="Times New Roman" w:eastAsia="Calibri" w:hAnsi="Times New Roman" w:cs="Times New Roman"/>
          <w:sz w:val="24"/>
          <w:lang w:eastAsia="en-US"/>
        </w:rPr>
        <w:t>20</w:t>
      </w:r>
      <w:r w:rsidRPr="00775212">
        <w:rPr>
          <w:rFonts w:ascii="Times New Roman" w:eastAsia="Calibri" w:hAnsi="Times New Roman" w:cs="Times New Roman"/>
          <w:sz w:val="24"/>
          <w:lang w:eastAsia="en-US"/>
        </w:rPr>
        <w:t xml:space="preserve">).  </w:t>
      </w:r>
    </w:p>
    <w:p w:rsidR="00775212" w:rsidRPr="00775212" w:rsidRDefault="00775212" w:rsidP="00775212">
      <w:pPr>
        <w:spacing w:after="120" w:line="288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noProof/>
          <w:sz w:val="24"/>
        </w:rPr>
        <w:lastRenderedPageBreak/>
        <w:drawing>
          <wp:inline distT="0" distB="0" distL="0" distR="0">
            <wp:extent cx="3877310" cy="2523490"/>
            <wp:effectExtent l="19050" t="0" r="8890" b="0"/>
            <wp:docPr id="19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310" cy="2523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212" w:rsidRPr="002B196D" w:rsidRDefault="00775212" w:rsidP="00775212">
      <w:pPr>
        <w:spacing w:after="120" w:line="240" w:lineRule="auto"/>
        <w:jc w:val="center"/>
        <w:rPr>
          <w:rFonts w:ascii="Times New Roman" w:eastAsia="Calibri" w:hAnsi="Times New Roman" w:cs="Times New Roman"/>
          <w:sz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lang w:eastAsia="en-US"/>
        </w:rPr>
        <w:t>16</w:t>
      </w:r>
      <w:r w:rsidR="002B196D" w:rsidRPr="002B196D">
        <w:rPr>
          <w:rFonts w:ascii="Times New Roman" w:eastAsia="Calibri" w:hAnsi="Times New Roman" w:cs="Times New Roman"/>
          <w:sz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Коэффициент поглощения (α) образцов пористого материала различной плотности. Средний диаметр пор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d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=0.35 мм, толщина образцов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h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>=10 мм.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44"/>
        <w:gridCol w:w="4642"/>
      </w:tblGrid>
      <w:tr w:rsidR="00775212" w:rsidRPr="00775212" w:rsidTr="00775212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775212" w:rsidRPr="00775212" w:rsidRDefault="00775212" w:rsidP="00775212">
            <w:pPr>
              <w:spacing w:after="12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992120" cy="1945640"/>
                  <wp:effectExtent l="19050" t="0" r="0" b="0"/>
                  <wp:docPr id="192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2120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775212" w:rsidRPr="00775212" w:rsidRDefault="00775212" w:rsidP="00775212">
            <w:pPr>
              <w:spacing w:after="12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984500" cy="1945640"/>
                  <wp:effectExtent l="19050" t="0" r="6350" b="0"/>
                  <wp:docPr id="193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0" cy="1945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212" w:rsidRPr="00775212" w:rsidTr="00775212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775212" w:rsidRPr="00775212" w:rsidRDefault="00775212" w:rsidP="00775212">
            <w:pPr>
              <w:spacing w:after="12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Действительная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Re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775212" w:rsidRPr="00775212" w:rsidRDefault="00775212" w:rsidP="00775212">
            <w:pPr>
              <w:spacing w:after="120" w:line="240" w:lineRule="auto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Мнимая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Im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</w:tr>
    </w:tbl>
    <w:p w:rsidR="00775212" w:rsidRPr="002B196D" w:rsidRDefault="00775212" w:rsidP="00775212">
      <w:pPr>
        <w:spacing w:after="120" w:line="240" w:lineRule="auto"/>
        <w:jc w:val="center"/>
        <w:rPr>
          <w:rFonts w:ascii="Times New Roman" w:eastAsia="Calibri" w:hAnsi="Times New Roman" w:cs="Times New Roman"/>
          <w:sz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lang w:eastAsia="en-US"/>
        </w:rPr>
        <w:t>17</w:t>
      </w:r>
      <w:r w:rsidR="002B196D" w:rsidRPr="002B196D">
        <w:rPr>
          <w:rFonts w:ascii="Times New Roman" w:eastAsia="Calibri" w:hAnsi="Times New Roman" w:cs="Times New Roman"/>
          <w:sz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Импеданс образцов пористого материала различной плотности. Средний диаметр пор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d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=0.35 мм, толщина образцов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h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>=10 мм.</w:t>
      </w:r>
    </w:p>
    <w:p w:rsidR="00775212" w:rsidRPr="00775212" w:rsidRDefault="00775212" w:rsidP="00775212">
      <w:pPr>
        <w:spacing w:after="120" w:line="240" w:lineRule="auto"/>
        <w:jc w:val="center"/>
        <w:rPr>
          <w:rFonts w:ascii="Times New Roman" w:eastAsia="Calibri" w:hAnsi="Times New Roman" w:cs="Times New Roman"/>
          <w:lang w:eastAsia="en-US"/>
        </w:rPr>
      </w:pPr>
      <w:r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>
            <wp:extent cx="3957320" cy="2582545"/>
            <wp:effectExtent l="19050" t="0" r="5080" b="0"/>
            <wp:docPr id="194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7320" cy="2582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212" w:rsidRPr="002B196D" w:rsidRDefault="00775212" w:rsidP="00775212">
      <w:pPr>
        <w:spacing w:after="120" w:line="240" w:lineRule="auto"/>
        <w:jc w:val="center"/>
        <w:rPr>
          <w:rFonts w:ascii="Times New Roman" w:eastAsia="Calibri" w:hAnsi="Times New Roman" w:cs="Times New Roman"/>
          <w:sz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lang w:eastAsia="en-US"/>
        </w:rPr>
        <w:t>18</w:t>
      </w:r>
      <w:r w:rsidR="002B196D" w:rsidRPr="002B196D">
        <w:rPr>
          <w:rFonts w:ascii="Times New Roman" w:eastAsia="Calibri" w:hAnsi="Times New Roman" w:cs="Times New Roman"/>
          <w:sz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Коэффициент поглощения (α) образцов пористого материала различной плотности. Средний диаметр пор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d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=0.35 мм, толщина образцов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h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>=15 мм.</w:t>
      </w:r>
    </w:p>
    <w:tbl>
      <w:tblPr>
        <w:tblW w:w="0" w:type="auto"/>
        <w:tblLook w:val="04A0"/>
      </w:tblPr>
      <w:tblGrid>
        <w:gridCol w:w="4643"/>
        <w:gridCol w:w="4643"/>
      </w:tblGrid>
      <w:tr w:rsidR="00775212" w:rsidRPr="00775212" w:rsidTr="002B196D">
        <w:tc>
          <w:tcPr>
            <w:tcW w:w="4643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lastRenderedPageBreak/>
              <w:drawing>
                <wp:inline distT="0" distB="0" distL="0" distR="0">
                  <wp:extent cx="2867660" cy="1865630"/>
                  <wp:effectExtent l="19050" t="0" r="8890" b="0"/>
                  <wp:docPr id="195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660" cy="1865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867660" cy="1865630"/>
                  <wp:effectExtent l="19050" t="0" r="8890" b="0"/>
                  <wp:docPr id="19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660" cy="1865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212" w:rsidRPr="00775212" w:rsidTr="002B196D">
        <w:tc>
          <w:tcPr>
            <w:tcW w:w="4643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szCs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Действительная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Re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  <w:tc>
          <w:tcPr>
            <w:tcW w:w="4643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szCs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Мнимая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Im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</w:tr>
    </w:tbl>
    <w:p w:rsidR="00775212" w:rsidRPr="002B196D" w:rsidRDefault="00775212" w:rsidP="00775212">
      <w:pPr>
        <w:spacing w:after="120" w:line="240" w:lineRule="auto"/>
        <w:jc w:val="center"/>
        <w:rPr>
          <w:rFonts w:ascii="Times New Roman" w:eastAsia="Calibri" w:hAnsi="Times New Roman" w:cs="Times New Roman"/>
          <w:sz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lang w:eastAsia="en-US"/>
        </w:rPr>
        <w:t>19</w:t>
      </w:r>
      <w:r w:rsidR="002B196D" w:rsidRPr="002B196D">
        <w:rPr>
          <w:rFonts w:ascii="Times New Roman" w:eastAsia="Calibri" w:hAnsi="Times New Roman" w:cs="Times New Roman"/>
          <w:sz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Импеданс образцов пористого материала различной плотности. Средний диаметр пор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d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=0.35 мм, толщина образцов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h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>=15 мм.</w:t>
      </w:r>
    </w:p>
    <w:p w:rsidR="00775212" w:rsidRPr="00775212" w:rsidRDefault="00775212" w:rsidP="00775212">
      <w:pPr>
        <w:spacing w:after="120" w:line="288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noProof/>
          <w:sz w:val="24"/>
        </w:rPr>
        <w:drawing>
          <wp:inline distT="0" distB="0" distL="0" distR="0">
            <wp:extent cx="3635375" cy="2369820"/>
            <wp:effectExtent l="19050" t="0" r="3175" b="0"/>
            <wp:docPr id="19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5375" cy="2369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5212" w:rsidRPr="002B196D" w:rsidRDefault="00775212" w:rsidP="00775212">
      <w:pPr>
        <w:spacing w:after="120" w:line="240" w:lineRule="auto"/>
        <w:jc w:val="center"/>
        <w:rPr>
          <w:rFonts w:ascii="Times New Roman" w:eastAsia="Calibri" w:hAnsi="Times New Roman" w:cs="Times New Roman"/>
          <w:sz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lang w:eastAsia="en-US"/>
        </w:rPr>
        <w:t>20</w:t>
      </w:r>
      <w:r w:rsidR="002B196D" w:rsidRPr="002B196D">
        <w:rPr>
          <w:rFonts w:ascii="Times New Roman" w:eastAsia="Calibri" w:hAnsi="Times New Roman" w:cs="Times New Roman"/>
          <w:sz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Коэффициент поглощения (α) образцов пористого материала различной плотности. Средний диаметр пор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d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=0.35 мм, толщина образцов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h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>=20 мм.</w:t>
      </w:r>
    </w:p>
    <w:tbl>
      <w:tblPr>
        <w:tblW w:w="0" w:type="auto"/>
        <w:tblLook w:val="04A0"/>
      </w:tblPr>
      <w:tblGrid>
        <w:gridCol w:w="4712"/>
        <w:gridCol w:w="4574"/>
      </w:tblGrid>
      <w:tr w:rsidR="00775212" w:rsidRPr="00775212" w:rsidTr="00775212">
        <w:tc>
          <w:tcPr>
            <w:tcW w:w="5046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3065145" cy="1997075"/>
                  <wp:effectExtent l="19050" t="0" r="1905" b="0"/>
                  <wp:docPr id="198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5145" cy="1997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5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drawing>
                <wp:inline distT="0" distB="0" distL="0" distR="0">
                  <wp:extent cx="2969895" cy="1938655"/>
                  <wp:effectExtent l="19050" t="0" r="1905" b="0"/>
                  <wp:docPr id="199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895" cy="1938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5212" w:rsidRPr="00775212" w:rsidTr="00775212">
        <w:tc>
          <w:tcPr>
            <w:tcW w:w="5046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szCs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Действительная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Re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  <w:tc>
          <w:tcPr>
            <w:tcW w:w="4525" w:type="dxa"/>
          </w:tcPr>
          <w:p w:rsidR="00775212" w:rsidRPr="00775212" w:rsidRDefault="00775212" w:rsidP="00775212">
            <w:pPr>
              <w:spacing w:after="120" w:line="288" w:lineRule="auto"/>
              <w:jc w:val="center"/>
              <w:rPr>
                <w:rFonts w:ascii="Times New Roman" w:eastAsia="Calibri" w:hAnsi="Times New Roman" w:cs="Times New Roman"/>
                <w:szCs w:val="24"/>
                <w:lang w:eastAsia="en-US"/>
              </w:rPr>
            </w:pPr>
            <w:r w:rsidRPr="00775212">
              <w:rPr>
                <w:rFonts w:ascii="Times New Roman" w:eastAsia="Calibri" w:hAnsi="Times New Roman" w:cs="Times New Roman"/>
                <w:lang w:eastAsia="en-US"/>
              </w:rPr>
              <w:t>Мнимая часть импеданса (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Im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775212">
              <w:rPr>
                <w:rFonts w:ascii="Times New Roman" w:eastAsia="Calibri" w:hAnsi="Times New Roman" w:cs="Times New Roman"/>
                <w:lang w:val="en-US" w:eastAsia="en-US"/>
              </w:rPr>
              <w:t>Z</w:t>
            </w:r>
            <w:r w:rsidRPr="00775212">
              <w:rPr>
                <w:rFonts w:ascii="Times New Roman" w:eastAsia="Calibri" w:hAnsi="Times New Roman" w:cs="Times New Roman"/>
                <w:lang w:eastAsia="en-US"/>
              </w:rPr>
              <w:t>)</w:t>
            </w:r>
          </w:p>
        </w:tc>
      </w:tr>
    </w:tbl>
    <w:p w:rsidR="00775212" w:rsidRPr="002B196D" w:rsidRDefault="00775212" w:rsidP="00775212">
      <w:pPr>
        <w:spacing w:after="120" w:line="240" w:lineRule="auto"/>
        <w:jc w:val="center"/>
        <w:rPr>
          <w:rFonts w:ascii="Times New Roman" w:eastAsia="Calibri" w:hAnsi="Times New Roman" w:cs="Times New Roman"/>
          <w:sz w:val="24"/>
          <w:lang w:eastAsia="en-US"/>
        </w:rPr>
      </w:pP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Рис. </w:t>
      </w:r>
      <w:r w:rsidR="00060E98" w:rsidRPr="002B196D">
        <w:rPr>
          <w:rFonts w:ascii="Times New Roman" w:eastAsia="Calibri" w:hAnsi="Times New Roman" w:cs="Times New Roman"/>
          <w:sz w:val="24"/>
          <w:lang w:eastAsia="en-US"/>
        </w:rPr>
        <w:t>21</w:t>
      </w:r>
      <w:r w:rsidR="002B196D" w:rsidRPr="002B196D">
        <w:rPr>
          <w:rFonts w:ascii="Times New Roman" w:eastAsia="Calibri" w:hAnsi="Times New Roman" w:cs="Times New Roman"/>
          <w:sz w:val="24"/>
          <w:lang w:eastAsia="en-US"/>
        </w:rPr>
        <w:t xml:space="preserve"> – 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Импеданс образцов пористого материала различной плотности. Средний диаметр пор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d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 xml:space="preserve">=0.35 мм, толщина образцов </w:t>
      </w:r>
      <w:r w:rsidRPr="002B196D">
        <w:rPr>
          <w:rFonts w:ascii="Times New Roman" w:eastAsia="Calibri" w:hAnsi="Times New Roman" w:cs="Times New Roman"/>
          <w:sz w:val="24"/>
          <w:lang w:val="en-US" w:eastAsia="en-US"/>
        </w:rPr>
        <w:t>h</w:t>
      </w:r>
      <w:r w:rsidRPr="002B196D">
        <w:rPr>
          <w:rFonts w:ascii="Times New Roman" w:eastAsia="Calibri" w:hAnsi="Times New Roman" w:cs="Times New Roman"/>
          <w:sz w:val="24"/>
          <w:lang w:eastAsia="en-US"/>
        </w:rPr>
        <w:t>=20 мм.</w:t>
      </w:r>
    </w:p>
    <w:p w:rsidR="00214E5D" w:rsidRDefault="00214E5D" w:rsidP="002B196D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75212" w:rsidRPr="002B196D" w:rsidRDefault="00775212" w:rsidP="002B196D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B196D">
        <w:rPr>
          <w:rFonts w:ascii="Times New Roman" w:eastAsia="Calibri" w:hAnsi="Times New Roman" w:cs="Times New Roman"/>
          <w:sz w:val="28"/>
          <w:szCs w:val="28"/>
          <w:lang w:eastAsia="en-US"/>
        </w:rPr>
        <w:lastRenderedPageBreak/>
        <w:t xml:space="preserve">На рис. </w:t>
      </w:r>
      <w:r w:rsidR="00060E98" w:rsidRPr="002B196D">
        <w:rPr>
          <w:rFonts w:ascii="Times New Roman" w:eastAsia="Calibri" w:hAnsi="Times New Roman" w:cs="Times New Roman"/>
          <w:sz w:val="28"/>
          <w:szCs w:val="28"/>
          <w:lang w:eastAsia="en-US"/>
        </w:rPr>
        <w:t>18</w:t>
      </w:r>
      <w:r w:rsidRPr="002B196D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и 2</w:t>
      </w:r>
      <w:r w:rsidR="00060E98" w:rsidRPr="002B196D">
        <w:rPr>
          <w:rFonts w:ascii="Times New Roman" w:eastAsia="Calibri" w:hAnsi="Times New Roman" w:cs="Times New Roman"/>
          <w:sz w:val="28"/>
          <w:szCs w:val="28"/>
          <w:lang w:eastAsia="en-US"/>
        </w:rPr>
        <w:t>0</w:t>
      </w:r>
      <w:r w:rsidRPr="002B196D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также можно отметить, что для образцов с одинаковым диаметром пор и при одинаковой толщине частота, на которой достигается максимум коэффициента поглощения, зависит от плотности материала, причем с увеличением плотности частота α</w:t>
      </w:r>
      <w:r w:rsidRPr="002B196D">
        <w:rPr>
          <w:rFonts w:ascii="Times New Roman" w:eastAsia="Calibri" w:hAnsi="Times New Roman" w:cs="Times New Roman"/>
          <w:sz w:val="28"/>
          <w:szCs w:val="28"/>
          <w:vertAlign w:val="subscript"/>
          <w:lang w:val="en-US" w:eastAsia="en-US"/>
        </w:rPr>
        <w:t>max</w:t>
      </w:r>
      <w:r w:rsidRPr="002B196D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смещается в сторону низких частот. </w:t>
      </w:r>
    </w:p>
    <w:p w:rsidR="00775212" w:rsidRPr="002B196D" w:rsidRDefault="00775212" w:rsidP="002B196D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2B196D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Для нескольких сочетаний диаметра пор и плотности были испытаны по 2 или 4 образца, что позволило судить о повторяемости результатов. В результате можно говорить о довольно хорошей степени отработки технологии изготовления образцов пористого материала, позволяющей производить материал со стабильными параметрами. </w:t>
      </w:r>
    </w:p>
    <w:p w:rsidR="00214E5D" w:rsidRDefault="00214E5D" w:rsidP="00686818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686818" w:rsidRPr="00133024" w:rsidRDefault="00686818" w:rsidP="00686818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Pr="00133024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686818" w:rsidRPr="00327AC1" w:rsidRDefault="00686818" w:rsidP="006868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7AC1">
        <w:rPr>
          <w:rFonts w:ascii="Times New Roman" w:hAnsi="Times New Roman" w:cs="Times New Roman"/>
          <w:sz w:val="28"/>
          <w:szCs w:val="28"/>
        </w:rPr>
        <w:t xml:space="preserve">На интерферометре проведено экспериментальное исследование акустических характеристик 283 образцов материала ВМПКМ. Получены частотные зависимости коэффициента поглощения и импеданса при варьировании </w:t>
      </w:r>
      <w:r>
        <w:rPr>
          <w:rFonts w:ascii="Times New Roman" w:hAnsi="Times New Roman" w:cs="Times New Roman"/>
          <w:sz w:val="28"/>
          <w:szCs w:val="28"/>
        </w:rPr>
        <w:t xml:space="preserve">толщины, </w:t>
      </w:r>
      <w:r w:rsidRPr="00327AC1">
        <w:rPr>
          <w:rFonts w:ascii="Times New Roman" w:hAnsi="Times New Roman" w:cs="Times New Roman"/>
          <w:sz w:val="28"/>
          <w:szCs w:val="28"/>
        </w:rPr>
        <w:t>среднего диаметра пор</w:t>
      </w:r>
      <w:r>
        <w:rPr>
          <w:rFonts w:ascii="Times New Roman" w:hAnsi="Times New Roman" w:cs="Times New Roman"/>
          <w:sz w:val="28"/>
          <w:szCs w:val="28"/>
        </w:rPr>
        <w:t xml:space="preserve"> и толщины ЗПК</w:t>
      </w:r>
      <w:r w:rsidRPr="00327AC1">
        <w:rPr>
          <w:rFonts w:ascii="Times New Roman" w:hAnsi="Times New Roman" w:cs="Times New Roman"/>
          <w:sz w:val="28"/>
          <w:szCs w:val="28"/>
        </w:rPr>
        <w:t xml:space="preserve">. Для более точных оценок при дальнейших исследованиях необходимо отработать методики определения объемной пористости и сопротивления продуванию материала ВМПКМ. </w:t>
      </w:r>
    </w:p>
    <w:p w:rsidR="00686818" w:rsidRPr="00327AC1" w:rsidRDefault="00686818" w:rsidP="006868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7AC1">
        <w:rPr>
          <w:rFonts w:ascii="Times New Roman" w:hAnsi="Times New Roman" w:cs="Times New Roman"/>
          <w:sz w:val="28"/>
          <w:szCs w:val="28"/>
        </w:rPr>
        <w:t>Образцы со средним диаметром пор 1 мм имеют коэффициент поглощения, не превышающий 0</w:t>
      </w:r>
      <w:r w:rsidR="002B196D" w:rsidRPr="002B196D">
        <w:rPr>
          <w:rFonts w:ascii="Times New Roman" w:hAnsi="Times New Roman" w:cs="Times New Roman"/>
          <w:sz w:val="28"/>
          <w:szCs w:val="28"/>
        </w:rPr>
        <w:t>.</w:t>
      </w:r>
      <w:r w:rsidRPr="00327AC1">
        <w:rPr>
          <w:rFonts w:ascii="Times New Roman" w:hAnsi="Times New Roman" w:cs="Times New Roman"/>
          <w:sz w:val="28"/>
          <w:szCs w:val="28"/>
        </w:rPr>
        <w:t xml:space="preserve">7. Довольно высокий коэффициент поглощения </w:t>
      </w:r>
      <w:r w:rsidRPr="00327AC1">
        <w:rPr>
          <w:rFonts w:ascii="Times New Roman" w:hAnsi="Times New Roman" w:cs="Times New Roman"/>
          <w:i/>
          <w:sz w:val="28"/>
          <w:szCs w:val="28"/>
        </w:rPr>
        <w:t>α</w:t>
      </w:r>
      <w:r w:rsidRPr="00327AC1">
        <w:rPr>
          <w:rFonts w:ascii="Times New Roman" w:hAnsi="Times New Roman" w:cs="Times New Roman"/>
          <w:sz w:val="28"/>
          <w:szCs w:val="28"/>
        </w:rPr>
        <w:t>≥0</w:t>
      </w:r>
      <w:r w:rsidR="002B196D" w:rsidRPr="002B196D">
        <w:rPr>
          <w:rFonts w:ascii="Times New Roman" w:hAnsi="Times New Roman" w:cs="Times New Roman"/>
          <w:sz w:val="28"/>
          <w:szCs w:val="28"/>
        </w:rPr>
        <w:t>.</w:t>
      </w:r>
      <w:r w:rsidRPr="00327AC1">
        <w:rPr>
          <w:rFonts w:ascii="Times New Roman" w:hAnsi="Times New Roman" w:cs="Times New Roman"/>
          <w:sz w:val="28"/>
          <w:szCs w:val="28"/>
        </w:rPr>
        <w:t>8 получен у образцов, имеющих средний диаметр пор 0</w:t>
      </w:r>
      <w:r w:rsidR="002B196D" w:rsidRPr="002B196D">
        <w:rPr>
          <w:rFonts w:ascii="Times New Roman" w:hAnsi="Times New Roman" w:cs="Times New Roman"/>
          <w:sz w:val="28"/>
          <w:szCs w:val="28"/>
        </w:rPr>
        <w:t>.</w:t>
      </w:r>
      <w:r w:rsidRPr="00327AC1">
        <w:rPr>
          <w:rFonts w:ascii="Times New Roman" w:hAnsi="Times New Roman" w:cs="Times New Roman"/>
          <w:sz w:val="28"/>
          <w:szCs w:val="28"/>
        </w:rPr>
        <w:t>5 мм и плотность 0</w:t>
      </w:r>
      <w:r w:rsidR="002B196D" w:rsidRPr="002B196D">
        <w:rPr>
          <w:rFonts w:ascii="Times New Roman" w:hAnsi="Times New Roman" w:cs="Times New Roman"/>
          <w:sz w:val="28"/>
          <w:szCs w:val="28"/>
        </w:rPr>
        <w:t>.</w:t>
      </w:r>
      <w:r w:rsidRPr="00327AC1">
        <w:rPr>
          <w:rFonts w:ascii="Times New Roman" w:hAnsi="Times New Roman" w:cs="Times New Roman"/>
          <w:sz w:val="28"/>
          <w:szCs w:val="28"/>
        </w:rPr>
        <w:t>60; 0</w:t>
      </w:r>
      <w:r w:rsidR="002B196D" w:rsidRPr="002B196D">
        <w:rPr>
          <w:rFonts w:ascii="Times New Roman" w:hAnsi="Times New Roman" w:cs="Times New Roman"/>
          <w:sz w:val="28"/>
          <w:szCs w:val="28"/>
        </w:rPr>
        <w:t>.</w:t>
      </w:r>
      <w:r w:rsidRPr="00327AC1">
        <w:rPr>
          <w:rFonts w:ascii="Times New Roman" w:hAnsi="Times New Roman" w:cs="Times New Roman"/>
          <w:sz w:val="28"/>
          <w:szCs w:val="28"/>
        </w:rPr>
        <w:t>75 г/см</w:t>
      </w:r>
      <w:r w:rsidRPr="00327AC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327AC1">
        <w:rPr>
          <w:rFonts w:ascii="Times New Roman" w:hAnsi="Times New Roman" w:cs="Times New Roman"/>
          <w:sz w:val="28"/>
          <w:szCs w:val="28"/>
        </w:rPr>
        <w:t xml:space="preserve">. Самые высокие значения коэффициента поглощения </w:t>
      </w:r>
      <w:r w:rsidRPr="00327AC1">
        <w:rPr>
          <w:rFonts w:ascii="Times New Roman" w:hAnsi="Times New Roman" w:cs="Times New Roman"/>
          <w:i/>
          <w:sz w:val="28"/>
          <w:szCs w:val="28"/>
        </w:rPr>
        <w:t>α</w:t>
      </w:r>
      <w:r w:rsidRPr="00327AC1">
        <w:rPr>
          <w:rFonts w:ascii="Times New Roman" w:hAnsi="Times New Roman" w:cs="Times New Roman"/>
          <w:sz w:val="28"/>
          <w:szCs w:val="28"/>
        </w:rPr>
        <w:t>≥0</w:t>
      </w:r>
      <w:r w:rsidR="002B196D" w:rsidRPr="002B196D">
        <w:rPr>
          <w:rFonts w:ascii="Times New Roman" w:hAnsi="Times New Roman" w:cs="Times New Roman"/>
          <w:sz w:val="28"/>
          <w:szCs w:val="28"/>
        </w:rPr>
        <w:t>.</w:t>
      </w:r>
      <w:r w:rsidRPr="00327AC1">
        <w:rPr>
          <w:rFonts w:ascii="Times New Roman" w:hAnsi="Times New Roman" w:cs="Times New Roman"/>
          <w:sz w:val="28"/>
          <w:szCs w:val="28"/>
        </w:rPr>
        <w:t>95 были получены у образцов, имеющих средний диаметр пор 0</w:t>
      </w:r>
      <w:r w:rsidR="002B196D" w:rsidRPr="002B196D">
        <w:rPr>
          <w:rFonts w:ascii="Times New Roman" w:hAnsi="Times New Roman" w:cs="Times New Roman"/>
          <w:sz w:val="28"/>
          <w:szCs w:val="28"/>
        </w:rPr>
        <w:t>.</w:t>
      </w:r>
      <w:r w:rsidRPr="00327AC1">
        <w:rPr>
          <w:rFonts w:ascii="Times New Roman" w:hAnsi="Times New Roman" w:cs="Times New Roman"/>
          <w:sz w:val="28"/>
          <w:szCs w:val="28"/>
        </w:rPr>
        <w:t>35 мм и плотность 1</w:t>
      </w:r>
      <w:r w:rsidR="002B196D" w:rsidRPr="002B196D">
        <w:rPr>
          <w:rFonts w:ascii="Times New Roman" w:hAnsi="Times New Roman" w:cs="Times New Roman"/>
          <w:sz w:val="28"/>
          <w:szCs w:val="28"/>
        </w:rPr>
        <w:t>.</w:t>
      </w:r>
      <w:r w:rsidRPr="00327AC1">
        <w:rPr>
          <w:rFonts w:ascii="Times New Roman" w:hAnsi="Times New Roman" w:cs="Times New Roman"/>
          <w:sz w:val="28"/>
          <w:szCs w:val="28"/>
        </w:rPr>
        <w:t>07 и 1</w:t>
      </w:r>
      <w:r w:rsidR="002B196D" w:rsidRPr="002B196D">
        <w:rPr>
          <w:rFonts w:ascii="Times New Roman" w:hAnsi="Times New Roman" w:cs="Times New Roman"/>
          <w:sz w:val="28"/>
          <w:szCs w:val="28"/>
        </w:rPr>
        <w:t>.</w:t>
      </w:r>
      <w:r w:rsidRPr="00327AC1">
        <w:rPr>
          <w:rFonts w:ascii="Times New Roman" w:hAnsi="Times New Roman" w:cs="Times New Roman"/>
          <w:sz w:val="28"/>
          <w:szCs w:val="28"/>
        </w:rPr>
        <w:t>37 г/см</w:t>
      </w:r>
      <w:r w:rsidRPr="00327AC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327AC1">
        <w:rPr>
          <w:rFonts w:ascii="Times New Roman" w:hAnsi="Times New Roman" w:cs="Times New Roman"/>
          <w:sz w:val="28"/>
          <w:szCs w:val="28"/>
        </w:rPr>
        <w:t>. Дальнейшее исследование целесообразно проводить с таким сочетанием диаметра пор и плотности материала в реверб</w:t>
      </w:r>
      <w:r>
        <w:rPr>
          <w:rFonts w:ascii="Times New Roman" w:hAnsi="Times New Roman" w:cs="Times New Roman"/>
          <w:sz w:val="28"/>
          <w:szCs w:val="28"/>
        </w:rPr>
        <w:t>ера</w:t>
      </w:r>
      <w:r w:rsidRPr="00327AC1">
        <w:rPr>
          <w:rFonts w:ascii="Times New Roman" w:hAnsi="Times New Roman" w:cs="Times New Roman"/>
          <w:sz w:val="28"/>
          <w:szCs w:val="28"/>
        </w:rPr>
        <w:t>ционной камере в канале с потоком стенда У-96Т ФГУП «ЦИАМ им. П.И. Баранова».</w:t>
      </w:r>
    </w:p>
    <w:p w:rsidR="00686818" w:rsidRPr="00327AC1" w:rsidRDefault="00686818" w:rsidP="006868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7AC1">
        <w:rPr>
          <w:rFonts w:ascii="Times New Roman" w:hAnsi="Times New Roman" w:cs="Times New Roman"/>
          <w:sz w:val="28"/>
          <w:szCs w:val="28"/>
        </w:rPr>
        <w:lastRenderedPageBreak/>
        <w:t xml:space="preserve">Для образцов с одинаковым диаметром пор и при одинаковой толщине частота, на которой достигается максимум коэффициента поглощения, зависит от плотности материала, причем с увеличением плотности частота </w:t>
      </w:r>
      <w:r w:rsidRPr="00327AC1">
        <w:rPr>
          <w:rFonts w:ascii="Times New Roman" w:hAnsi="Times New Roman" w:cs="Times New Roman"/>
          <w:i/>
          <w:sz w:val="28"/>
          <w:szCs w:val="28"/>
        </w:rPr>
        <w:t>α</w:t>
      </w:r>
      <w:r w:rsidRPr="00327AC1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max</w:t>
      </w:r>
      <w:r w:rsidRPr="00327AC1">
        <w:rPr>
          <w:rFonts w:ascii="Times New Roman" w:hAnsi="Times New Roman" w:cs="Times New Roman"/>
          <w:sz w:val="28"/>
          <w:szCs w:val="28"/>
        </w:rPr>
        <w:t xml:space="preserve"> смещается в сторону низких частот. Поэтому для более детальных выводов по оптимальному значению коэффициента поглощения в широком диапазоне частот (от 1 до 10 кГц) необходимы дальнейшие исследования по влиянию плотности</w:t>
      </w:r>
      <w:r>
        <w:rPr>
          <w:rFonts w:ascii="Times New Roman" w:hAnsi="Times New Roman" w:cs="Times New Roman"/>
          <w:sz w:val="28"/>
          <w:szCs w:val="28"/>
        </w:rPr>
        <w:t xml:space="preserve"> и пористости</w:t>
      </w:r>
      <w:r w:rsidRPr="00327AC1">
        <w:rPr>
          <w:rFonts w:ascii="Times New Roman" w:hAnsi="Times New Roman" w:cs="Times New Roman"/>
          <w:sz w:val="28"/>
          <w:szCs w:val="28"/>
        </w:rPr>
        <w:t xml:space="preserve"> ВМПКМ на шумоглушение.</w:t>
      </w:r>
    </w:p>
    <w:p w:rsidR="00214E5D" w:rsidRDefault="00214E5D" w:rsidP="00522F8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522F8E" w:rsidRPr="00214E5D" w:rsidRDefault="00214E5D" w:rsidP="00522F8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Литература</w:t>
      </w:r>
    </w:p>
    <w:p w:rsidR="00522F8E" w:rsidRPr="00AA02D6" w:rsidRDefault="00522F8E" w:rsidP="00522F8E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AA02D6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1 Acoustics Technical Working Group. NASA Partnerships and Collaborative. Research on Ultra High Bypass Cycle Propulsion Concepts. Meeting September 23-24, 2008.</w:t>
      </w:r>
    </w:p>
    <w:p w:rsidR="00522F8E" w:rsidRPr="00AA02D6" w:rsidRDefault="00AA02D6" w:rsidP="00522F8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</w:pPr>
      <w:r w:rsidRPr="00AA02D6">
        <w:rPr>
          <w:rFonts w:ascii="Times New Roman" w:hAnsi="Times New Roman" w:cs="Times New Roman"/>
          <w:sz w:val="28"/>
          <w:szCs w:val="28"/>
          <w:lang w:val="en-US"/>
        </w:rPr>
        <w:t>2 Brailko I., Krasheninnikov M., Mironov A. Correlation of Acoustic and Thrust Characteristics of the Chevron Nozzles / Twelfth International Congress on Sound and Vibration. ICSV12, 11 – 14 July 2005. – Lisbon, Portugal, 2005.</w:t>
      </w:r>
    </w:p>
    <w:p w:rsidR="00522F8E" w:rsidRPr="00327AC1" w:rsidRDefault="00AA02D6" w:rsidP="00214E5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AA02D6">
        <w:rPr>
          <w:rFonts w:ascii="Times New Roman" w:hAnsi="Times New Roman" w:cs="Times New Roman"/>
          <w:sz w:val="28"/>
          <w:szCs w:val="28"/>
          <w:lang w:val="en-US"/>
        </w:rPr>
        <w:t xml:space="preserve">3 Krasheninnikov S. J u., Mironov A. K., Vasiliev V. I., Zakotenko S. N. An Analysis of Efficiency of Mixer/Ejector for Aircraft Jet Noise Suppression / International EAA/EEAA Symposium. </w:t>
      </w:r>
      <w:r>
        <w:rPr>
          <w:rFonts w:ascii="Times New Roman" w:hAnsi="Times New Roman" w:cs="Times New Roman"/>
          <w:sz w:val="28"/>
          <w:szCs w:val="28"/>
          <w:lang w:val="en-US"/>
        </w:rPr>
        <w:t>–</w:t>
      </w:r>
      <w:r w:rsidRPr="00AA02D6">
        <w:rPr>
          <w:rFonts w:ascii="Times New Roman" w:hAnsi="Times New Roman" w:cs="Times New Roman"/>
          <w:sz w:val="28"/>
          <w:szCs w:val="28"/>
          <w:lang w:val="en-US"/>
        </w:rPr>
        <w:t xml:space="preserve"> Tallin, 1998.</w:t>
      </w:r>
    </w:p>
    <w:sectPr w:rsidR="00522F8E" w:rsidRPr="00327AC1" w:rsidSect="00560737">
      <w:footerReference w:type="default" r:id="rId36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15AC2" w:rsidRDefault="00D15AC2" w:rsidP="00842D6B">
      <w:pPr>
        <w:spacing w:after="0" w:line="240" w:lineRule="auto"/>
      </w:pPr>
      <w:r>
        <w:separator/>
      </w:r>
    </w:p>
  </w:endnote>
  <w:endnote w:type="continuationSeparator" w:id="1">
    <w:p w:rsidR="00D15AC2" w:rsidRDefault="00D15AC2" w:rsidP="00842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07964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</w:rPr>
    </w:sdtEndPr>
    <w:sdtContent>
      <w:p w:rsidR="00775212" w:rsidRDefault="00C975C6">
        <w:pPr>
          <w:pStyle w:val="a9"/>
          <w:jc w:val="center"/>
        </w:pPr>
        <w:r w:rsidRPr="00842D6B">
          <w:rPr>
            <w:rFonts w:ascii="Times New Roman" w:hAnsi="Times New Roman" w:cs="Times New Roman"/>
            <w:sz w:val="28"/>
          </w:rPr>
          <w:fldChar w:fldCharType="begin"/>
        </w:r>
        <w:r w:rsidR="00775212" w:rsidRPr="00842D6B">
          <w:rPr>
            <w:rFonts w:ascii="Times New Roman" w:hAnsi="Times New Roman" w:cs="Times New Roman"/>
            <w:sz w:val="28"/>
          </w:rPr>
          <w:instrText xml:space="preserve"> PAGE   \* MERGEFORMAT </w:instrText>
        </w:r>
        <w:r w:rsidRPr="00842D6B">
          <w:rPr>
            <w:rFonts w:ascii="Times New Roman" w:hAnsi="Times New Roman" w:cs="Times New Roman"/>
            <w:sz w:val="28"/>
          </w:rPr>
          <w:fldChar w:fldCharType="separate"/>
        </w:r>
        <w:r w:rsidR="00214E5D">
          <w:rPr>
            <w:rFonts w:ascii="Times New Roman" w:hAnsi="Times New Roman" w:cs="Times New Roman"/>
            <w:noProof/>
            <w:sz w:val="28"/>
          </w:rPr>
          <w:t>19</w:t>
        </w:r>
        <w:r w:rsidRPr="00842D6B">
          <w:rPr>
            <w:rFonts w:ascii="Times New Roman" w:hAnsi="Times New Roman" w:cs="Times New Roman"/>
            <w:sz w:val="28"/>
          </w:rPr>
          <w:fldChar w:fldCharType="end"/>
        </w:r>
      </w:p>
    </w:sdtContent>
  </w:sdt>
  <w:p w:rsidR="00775212" w:rsidRDefault="00775212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15AC2" w:rsidRDefault="00D15AC2" w:rsidP="00842D6B">
      <w:pPr>
        <w:spacing w:after="0" w:line="240" w:lineRule="auto"/>
      </w:pPr>
      <w:r>
        <w:separator/>
      </w:r>
    </w:p>
  </w:footnote>
  <w:footnote w:type="continuationSeparator" w:id="1">
    <w:p w:rsidR="00D15AC2" w:rsidRDefault="00D15AC2" w:rsidP="00842D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A63585"/>
    <w:multiLevelType w:val="hybridMultilevel"/>
    <w:tmpl w:val="DA3603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22F8E"/>
    <w:rsid w:val="00010AF3"/>
    <w:rsid w:val="00060E98"/>
    <w:rsid w:val="00132C34"/>
    <w:rsid w:val="00133024"/>
    <w:rsid w:val="001371D2"/>
    <w:rsid w:val="00172C78"/>
    <w:rsid w:val="001B782C"/>
    <w:rsid w:val="00214E5D"/>
    <w:rsid w:val="00221420"/>
    <w:rsid w:val="002B196D"/>
    <w:rsid w:val="00327AC1"/>
    <w:rsid w:val="003E1661"/>
    <w:rsid w:val="0045649E"/>
    <w:rsid w:val="00456F54"/>
    <w:rsid w:val="00522F8E"/>
    <w:rsid w:val="00532C6D"/>
    <w:rsid w:val="00560737"/>
    <w:rsid w:val="005D59F8"/>
    <w:rsid w:val="00686818"/>
    <w:rsid w:val="00732753"/>
    <w:rsid w:val="00741EFB"/>
    <w:rsid w:val="00775212"/>
    <w:rsid w:val="00775260"/>
    <w:rsid w:val="007F7040"/>
    <w:rsid w:val="00842D6B"/>
    <w:rsid w:val="00917C14"/>
    <w:rsid w:val="00931741"/>
    <w:rsid w:val="00A81D4D"/>
    <w:rsid w:val="00AA02D6"/>
    <w:rsid w:val="00C7706B"/>
    <w:rsid w:val="00C90223"/>
    <w:rsid w:val="00C975C6"/>
    <w:rsid w:val="00CF6F57"/>
    <w:rsid w:val="00D15AC2"/>
    <w:rsid w:val="00DA36BC"/>
    <w:rsid w:val="00E36DF5"/>
    <w:rsid w:val="00E50658"/>
    <w:rsid w:val="00EF1357"/>
    <w:rsid w:val="00F04752"/>
    <w:rsid w:val="00F604B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75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2F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2F8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B782C"/>
    <w:pPr>
      <w:spacing w:after="0" w:line="288" w:lineRule="auto"/>
      <w:ind w:left="720" w:firstLine="567"/>
      <w:contextualSpacing/>
    </w:pPr>
    <w:rPr>
      <w:rFonts w:ascii="Times New Roman" w:eastAsia="Calibri" w:hAnsi="Times New Roman" w:cs="Times New Roman"/>
      <w:sz w:val="24"/>
      <w:lang w:eastAsia="en-US"/>
    </w:rPr>
  </w:style>
  <w:style w:type="table" w:styleId="a6">
    <w:name w:val="Table Grid"/>
    <w:basedOn w:val="a1"/>
    <w:uiPriority w:val="59"/>
    <w:rsid w:val="001330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842D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842D6B"/>
  </w:style>
  <w:style w:type="paragraph" w:styleId="a9">
    <w:name w:val="footer"/>
    <w:basedOn w:val="a"/>
    <w:link w:val="aa"/>
    <w:uiPriority w:val="99"/>
    <w:unhideWhenUsed/>
    <w:rsid w:val="00842D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42D6B"/>
  </w:style>
  <w:style w:type="character" w:styleId="ab">
    <w:name w:val="Hyperlink"/>
    <w:basedOn w:val="a0"/>
    <w:uiPriority w:val="99"/>
    <w:unhideWhenUsed/>
    <w:rsid w:val="00214E5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2F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2F8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B782C"/>
    <w:pPr>
      <w:spacing w:after="0" w:line="288" w:lineRule="auto"/>
      <w:ind w:left="720" w:firstLine="567"/>
      <w:contextualSpacing/>
    </w:pPr>
    <w:rPr>
      <w:rFonts w:ascii="Times New Roman" w:eastAsia="Calibri" w:hAnsi="Times New Roman" w:cs="Times New Roman"/>
      <w:sz w:val="24"/>
      <w:lang w:eastAsia="en-US"/>
    </w:rPr>
  </w:style>
  <w:style w:type="table" w:styleId="a6">
    <w:name w:val="Table Grid"/>
    <w:basedOn w:val="a1"/>
    <w:uiPriority w:val="59"/>
    <w:rsid w:val="0013302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842D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842D6B"/>
  </w:style>
  <w:style w:type="paragraph" w:styleId="a9">
    <w:name w:val="footer"/>
    <w:basedOn w:val="a"/>
    <w:link w:val="aa"/>
    <w:uiPriority w:val="99"/>
    <w:unhideWhenUsed/>
    <w:rsid w:val="00842D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842D6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19</Pages>
  <Words>2975</Words>
  <Characters>16962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19898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SLAYER</dc:creator>
  <cp:lastModifiedBy>Пользователь Windows</cp:lastModifiedBy>
  <cp:revision>3</cp:revision>
  <cp:lastPrinted>2015-01-29T08:37:00Z</cp:lastPrinted>
  <dcterms:created xsi:type="dcterms:W3CDTF">2015-03-02T08:57:00Z</dcterms:created>
  <dcterms:modified xsi:type="dcterms:W3CDTF">2015-04-09T09:15:00Z</dcterms:modified>
</cp:coreProperties>
</file>